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Default="007F1FEE" w:rsidP="007F1FEE">
      <w:pPr>
        <w:jc w:val="right"/>
        <w:rPr>
          <w:rFonts w:ascii="Calibri" w:hAnsi="Calibri"/>
          <w:sz w:val="22"/>
          <w:szCs w:val="22"/>
        </w:rPr>
      </w:pPr>
      <w:r>
        <w:rPr>
          <w:rFonts w:ascii="Calibri" w:hAnsi="Calibri"/>
          <w:sz w:val="22"/>
          <w:szCs w:val="22"/>
        </w:rPr>
        <w:t>Jędrzejów</w:t>
      </w:r>
      <w:r w:rsidR="00884E2E">
        <w:rPr>
          <w:rFonts w:ascii="Calibri" w:hAnsi="Calibri"/>
          <w:sz w:val="22"/>
          <w:szCs w:val="22"/>
        </w:rPr>
        <w:t>, 0</w:t>
      </w:r>
      <w:r w:rsidR="003B53FB">
        <w:rPr>
          <w:rFonts w:ascii="Calibri" w:hAnsi="Calibri"/>
          <w:sz w:val="22"/>
          <w:szCs w:val="22"/>
        </w:rPr>
        <w:t>5</w:t>
      </w:r>
      <w:bookmarkStart w:id="0" w:name="_GoBack"/>
      <w:bookmarkEnd w:id="0"/>
      <w:r w:rsidR="00884E2E">
        <w:rPr>
          <w:rFonts w:ascii="Calibri" w:hAnsi="Calibri"/>
          <w:sz w:val="22"/>
          <w:szCs w:val="22"/>
        </w:rPr>
        <w:t>.03</w:t>
      </w:r>
      <w:r w:rsidR="00884E2E" w:rsidRPr="0051575C">
        <w:rPr>
          <w:rFonts w:ascii="Calibri" w:hAnsi="Calibri"/>
          <w:sz w:val="22"/>
          <w:szCs w:val="22"/>
        </w:rPr>
        <w:t xml:space="preserve">.2014 r. </w:t>
      </w:r>
    </w:p>
    <w:p w:rsidR="00884E2E" w:rsidRPr="007F1FEE" w:rsidRDefault="00884E2E" w:rsidP="007F1FEE">
      <w:pPr>
        <w:rPr>
          <w:rFonts w:ascii="Calibri" w:hAnsi="Calibri"/>
          <w:sz w:val="22"/>
          <w:szCs w:val="22"/>
        </w:rPr>
      </w:pPr>
      <w:r w:rsidRPr="007F1FEE">
        <w:rPr>
          <w:rFonts w:ascii="Calibri" w:hAnsi="Calibri"/>
          <w:sz w:val="22"/>
          <w:szCs w:val="22"/>
        </w:rPr>
        <w:t>Powiat Jędrzejowski</w:t>
      </w:r>
    </w:p>
    <w:p w:rsidR="00884E2E" w:rsidRPr="0051575C" w:rsidRDefault="00884E2E" w:rsidP="007F1FEE">
      <w:pPr>
        <w:rPr>
          <w:rFonts w:ascii="Calibri" w:hAnsi="Calibri"/>
          <w:sz w:val="22"/>
          <w:szCs w:val="22"/>
        </w:rPr>
      </w:pPr>
      <w:r w:rsidRPr="0051575C">
        <w:rPr>
          <w:rFonts w:ascii="Calibri" w:hAnsi="Calibri"/>
          <w:sz w:val="22"/>
          <w:szCs w:val="22"/>
        </w:rPr>
        <w:t>ul. 11-go Listopada 83</w:t>
      </w:r>
    </w:p>
    <w:p w:rsidR="00884E2E" w:rsidRDefault="00884E2E" w:rsidP="007F1FEE">
      <w:pPr>
        <w:ind w:left="7411" w:hanging="7411"/>
        <w:rPr>
          <w:rFonts w:ascii="Calibri" w:hAnsi="Calibri"/>
          <w:sz w:val="22"/>
          <w:szCs w:val="22"/>
        </w:rPr>
      </w:pPr>
      <w:r w:rsidRPr="0051575C">
        <w:rPr>
          <w:rFonts w:ascii="Calibri" w:hAnsi="Calibri"/>
          <w:sz w:val="22"/>
          <w:szCs w:val="22"/>
        </w:rPr>
        <w:t>28-300 Jędrzejów</w:t>
      </w:r>
    </w:p>
    <w:p w:rsidR="00884E2E" w:rsidRPr="0051575C" w:rsidRDefault="007F1FEE" w:rsidP="007F1FEE">
      <w:pPr>
        <w:rPr>
          <w:rFonts w:ascii="Calibri" w:hAnsi="Calibri"/>
          <w:sz w:val="22"/>
          <w:szCs w:val="22"/>
        </w:rPr>
      </w:pPr>
      <w:r w:rsidRPr="007F1FEE">
        <w:rPr>
          <w:rFonts w:ascii="Calibri" w:hAnsi="Calibri"/>
          <w:sz w:val="22"/>
          <w:szCs w:val="22"/>
        </w:rPr>
        <w:t>OKSO.272.2.2014</w:t>
      </w:r>
    </w:p>
    <w:p w:rsidR="00884E2E" w:rsidRPr="0051575C" w:rsidRDefault="00884E2E" w:rsidP="007F1FEE">
      <w:pPr>
        <w:ind w:left="5664"/>
        <w:jc w:val="right"/>
        <w:outlineLvl w:val="0"/>
        <w:rPr>
          <w:rFonts w:ascii="Calibri" w:hAnsi="Calibri"/>
          <w:b/>
          <w:sz w:val="22"/>
          <w:szCs w:val="22"/>
        </w:rPr>
      </w:pPr>
      <w:r w:rsidRPr="0051575C">
        <w:rPr>
          <w:rFonts w:ascii="Calibri" w:hAnsi="Calibri"/>
          <w:b/>
          <w:bCs/>
          <w:sz w:val="22"/>
          <w:szCs w:val="22"/>
        </w:rPr>
        <w:t>Uczestnicy Postępowania Przetargowego</w:t>
      </w:r>
    </w:p>
    <w:p w:rsidR="00884E2E" w:rsidRPr="001E6A05" w:rsidRDefault="00884E2E" w:rsidP="007F1FEE">
      <w:pPr>
        <w:jc w:val="right"/>
        <w:rPr>
          <w:rFonts w:ascii="Calibri" w:hAnsi="Calibri"/>
          <w:sz w:val="20"/>
          <w:szCs w:val="20"/>
        </w:rPr>
      </w:pPr>
    </w:p>
    <w:p w:rsidR="00884E2E" w:rsidRPr="001E6A05" w:rsidRDefault="00884E2E" w:rsidP="007F1FEE">
      <w:pPr>
        <w:jc w:val="right"/>
        <w:rPr>
          <w:rFonts w:ascii="Calibri" w:hAnsi="Calibri"/>
          <w:sz w:val="20"/>
          <w:szCs w:val="20"/>
        </w:rPr>
      </w:pPr>
    </w:p>
    <w:p w:rsidR="00884E2E" w:rsidRPr="0051575C" w:rsidRDefault="00884E2E" w:rsidP="007F1FEE">
      <w:pPr>
        <w:jc w:val="center"/>
        <w:rPr>
          <w:rFonts w:ascii="Calibri" w:hAnsi="Calibri"/>
        </w:rPr>
      </w:pPr>
      <w:r w:rsidRPr="0051575C">
        <w:rPr>
          <w:rFonts w:ascii="Calibri" w:hAnsi="Calibri"/>
        </w:rPr>
        <w:t>ODPOWIEDZI NA ZAPYTANIA WYKONAWCÓW</w:t>
      </w:r>
    </w:p>
    <w:p w:rsidR="00884E2E" w:rsidRPr="001E6A05" w:rsidRDefault="00884E2E" w:rsidP="007F1FEE">
      <w:pPr>
        <w:tabs>
          <w:tab w:val="left" w:pos="1786"/>
        </w:tabs>
        <w:jc w:val="both"/>
        <w:rPr>
          <w:rFonts w:ascii="Calibri" w:hAnsi="Calibri" w:cs="Arial"/>
          <w:sz w:val="20"/>
          <w:szCs w:val="20"/>
        </w:rPr>
      </w:pPr>
    </w:p>
    <w:p w:rsidR="00884E2E" w:rsidRPr="0051575C" w:rsidRDefault="007F1FEE" w:rsidP="007F1FEE">
      <w:pPr>
        <w:jc w:val="both"/>
        <w:rPr>
          <w:rFonts w:ascii="Calibri" w:hAnsi="Calibri"/>
          <w:b/>
          <w:bCs/>
          <w:i/>
          <w:iCs/>
          <w:sz w:val="22"/>
          <w:szCs w:val="22"/>
          <w:u w:val="single"/>
        </w:rPr>
      </w:pPr>
      <w:r>
        <w:rPr>
          <w:rFonts w:ascii="Calibri" w:hAnsi="Calibri"/>
          <w:sz w:val="22"/>
          <w:szCs w:val="22"/>
        </w:rPr>
        <w:t>Zamawiający – Powiat Jędrzejowski</w:t>
      </w:r>
      <w:r w:rsidR="00884E2E" w:rsidRPr="0051575C">
        <w:rPr>
          <w:rFonts w:ascii="Calibri" w:hAnsi="Calibri"/>
          <w:sz w:val="22"/>
          <w:szCs w:val="22"/>
        </w:rPr>
        <w:t xml:space="preserve">, prowadząc postępowanie o udzieleniu zamówienia publicznego w trybie przetargu nieograniczonego na realizację zadania : „ Zakup energii elektrycznej”  przesyła niniejszym pismem treść zapytań,  które drogą </w:t>
      </w:r>
      <w:r w:rsidR="00884E2E">
        <w:rPr>
          <w:rFonts w:ascii="Calibri" w:hAnsi="Calibri"/>
          <w:sz w:val="22"/>
          <w:szCs w:val="22"/>
        </w:rPr>
        <w:t xml:space="preserve">elektroniczną </w:t>
      </w:r>
      <w:r w:rsidR="00884E2E" w:rsidRPr="0051575C">
        <w:rPr>
          <w:rFonts w:ascii="Calibri" w:hAnsi="Calibri"/>
          <w:sz w:val="22"/>
          <w:szCs w:val="22"/>
        </w:rPr>
        <w:t xml:space="preserve">wpłynęły </w:t>
      </w:r>
      <w:r w:rsidR="00884E2E">
        <w:rPr>
          <w:rFonts w:ascii="Calibri" w:hAnsi="Calibri"/>
          <w:sz w:val="22"/>
          <w:szCs w:val="22"/>
        </w:rPr>
        <w:t>do Zamawiającego w dniu 2</w:t>
      </w:r>
      <w:r>
        <w:rPr>
          <w:rFonts w:ascii="Calibri" w:hAnsi="Calibri"/>
          <w:sz w:val="22"/>
          <w:szCs w:val="22"/>
        </w:rPr>
        <w:t>5</w:t>
      </w:r>
      <w:r w:rsidR="00884E2E" w:rsidRPr="0051575C">
        <w:rPr>
          <w:rFonts w:ascii="Calibri" w:hAnsi="Calibri"/>
          <w:sz w:val="22"/>
          <w:szCs w:val="22"/>
        </w:rPr>
        <w:t>.02.2014 r., dotyczących przedmiotowego postępowania wraz z odpowiedziami, w celu wyjaśnienia wątpliwości dotyczących ogłoszenia nr: 2014/S 028-044304 przekazane Urzędowi Publikacji Unii Europejskiej w dniu 05.02.2014r.</w:t>
      </w:r>
    </w:p>
    <w:p w:rsidR="00884E2E" w:rsidRPr="0051575C" w:rsidRDefault="00884E2E" w:rsidP="007F1FEE">
      <w:pPr>
        <w:rPr>
          <w:rFonts w:ascii="Calibri" w:hAnsi="Calibri"/>
          <w:sz w:val="22"/>
          <w:szCs w:val="22"/>
        </w:rPr>
      </w:pPr>
    </w:p>
    <w:p w:rsidR="00884E2E" w:rsidRPr="0051575C" w:rsidRDefault="00884E2E" w:rsidP="007F1FEE">
      <w:pPr>
        <w:jc w:val="both"/>
        <w:rPr>
          <w:rFonts w:ascii="Calibri" w:hAnsi="Calibri" w:cs="Arial"/>
          <w:b/>
          <w:sz w:val="22"/>
          <w:szCs w:val="22"/>
        </w:rPr>
      </w:pPr>
      <w:r w:rsidRPr="0051575C">
        <w:rPr>
          <w:rFonts w:ascii="Calibri" w:hAnsi="Calibri" w:cs="Arial"/>
          <w:b/>
          <w:sz w:val="22"/>
          <w:szCs w:val="22"/>
        </w:rPr>
        <w:t xml:space="preserve">Pytanie 1. </w:t>
      </w:r>
    </w:p>
    <w:p w:rsidR="00884E2E" w:rsidRPr="0051575C" w:rsidRDefault="00884E2E" w:rsidP="007F1FEE">
      <w:pPr>
        <w:jc w:val="both"/>
        <w:rPr>
          <w:rFonts w:ascii="Calibri" w:hAnsi="Calibri" w:cs="Arial"/>
          <w:sz w:val="22"/>
          <w:szCs w:val="22"/>
        </w:rPr>
      </w:pPr>
      <w:r w:rsidRPr="0051575C">
        <w:rPr>
          <w:rFonts w:ascii="Calibri" w:hAnsi="Calibri" w:cs="Arial"/>
          <w:sz w:val="22"/>
          <w:szCs w:val="22"/>
        </w:rPr>
        <w:t>Czy Zamawiający posiada tytuł prawny do dysponowania obiektami objętymi postępowaniem?</w:t>
      </w:r>
    </w:p>
    <w:p w:rsidR="00884E2E" w:rsidRPr="0051575C" w:rsidRDefault="00884E2E" w:rsidP="007F1FEE">
      <w:pPr>
        <w:pStyle w:val="ListParagraph1"/>
        <w:spacing w:line="240" w:lineRule="auto"/>
        <w:ind w:left="0"/>
        <w:rPr>
          <w:rFonts w:ascii="Calibri" w:hAnsi="Calibri"/>
          <w:sz w:val="22"/>
          <w:szCs w:val="22"/>
        </w:rPr>
      </w:pPr>
    </w:p>
    <w:p w:rsidR="00884E2E" w:rsidRDefault="00884E2E" w:rsidP="007F1FEE">
      <w:pPr>
        <w:pStyle w:val="ListParagraph1"/>
        <w:spacing w:line="240" w:lineRule="auto"/>
        <w:ind w:left="0"/>
        <w:rPr>
          <w:rFonts w:ascii="Calibri" w:hAnsi="Calibri"/>
          <w:b/>
          <w:sz w:val="22"/>
          <w:szCs w:val="22"/>
        </w:rPr>
      </w:pPr>
      <w:r w:rsidRPr="0051575C">
        <w:rPr>
          <w:rFonts w:ascii="Calibri" w:hAnsi="Calibri"/>
          <w:b/>
          <w:sz w:val="22"/>
          <w:szCs w:val="22"/>
        </w:rPr>
        <w:t>Odpowiedź 1</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Zamawiający wskazuje, że kwestia własności w tym zakresie nie ma</w:t>
      </w:r>
      <w:r w:rsidR="007F1FEE">
        <w:rPr>
          <w:rFonts w:ascii="Calibri" w:hAnsi="Calibri"/>
          <w:sz w:val="22"/>
          <w:szCs w:val="22"/>
        </w:rPr>
        <w:t xml:space="preserve"> większego znaczenia. Zgodnie z </w:t>
      </w:r>
      <w:r w:rsidRPr="00775440">
        <w:rPr>
          <w:rFonts w:ascii="Calibri" w:hAnsi="Calibri"/>
          <w:sz w:val="22"/>
          <w:szCs w:val="22"/>
        </w:rPr>
        <w:t xml:space="preserve">art. 4j ustawy z 9 kwietnia 1997 r. – Prawo energetyczne (Dz. U. z 2006 r. nr 89, poz. 625 ze zm.), odbiorcy paliw gazowych lub energii mają prawo zakupu tych paliw lub energii od wybranego przez siebie sprzedawcy. Zapewnienie oświetlenia ulicznego należy do zadań własnych miasta zgodnie z art. 18 ustawy Prawo energetyczne. Finansowanie oświetlenia, to finansowanie kosztów energii elektrycznej pobranej przez punkty świetlne oraz koszty ich budowy i utrzymania (art. 3 pkt 22). Kwestia własności poszczególnych „słupów” oświetlenia ulicznego, jest drugorzędna. Ponadto należy wskazać, iż ew. wątpliwości rozwiewa dyspozycja przepisu art. 48 kodeksu cywilnego. </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 xml:space="preserve">Zamawiający również zwraca uwagę na dyspozycję przepisu art. 191 kodeksu cywilnego, zgodnie z którym własność nieruchomości rozciąga się na rzecz ruchomą, która została połączona z nieruchomością w taki sposób, że stała się jej częścią składową. Z kolei zgodnie z art. 47 § 1 </w:t>
      </w:r>
      <w:proofErr w:type="spellStart"/>
      <w:r w:rsidRPr="00775440">
        <w:rPr>
          <w:rFonts w:ascii="Calibri" w:hAnsi="Calibri"/>
          <w:sz w:val="22"/>
          <w:szCs w:val="22"/>
        </w:rPr>
        <w:t>kc</w:t>
      </w:r>
      <w:proofErr w:type="spellEnd"/>
      <w:r w:rsidRPr="00775440">
        <w:rPr>
          <w:rFonts w:ascii="Calibri" w:hAnsi="Calibri"/>
          <w:sz w:val="22"/>
          <w:szCs w:val="22"/>
        </w:rPr>
        <w:t xml:space="preserve"> w zw. z art. 48 </w:t>
      </w:r>
      <w:proofErr w:type="spellStart"/>
      <w:r w:rsidRPr="00775440">
        <w:rPr>
          <w:rFonts w:ascii="Calibri" w:hAnsi="Calibri"/>
          <w:sz w:val="22"/>
          <w:szCs w:val="22"/>
        </w:rPr>
        <w:t>kc</w:t>
      </w:r>
      <w:proofErr w:type="spellEnd"/>
      <w:r w:rsidRPr="00775440">
        <w:rPr>
          <w:rFonts w:ascii="Calibri" w:hAnsi="Calibri"/>
          <w:sz w:val="22"/>
          <w:szCs w:val="22"/>
        </w:rPr>
        <w:t xml:space="preserve"> część składowa, do której należą w szczególności urządzenia trwale z gruntem związane, nie może być odrębnym przedmiotem własności i innych praw rzeczowych. </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 xml:space="preserve">W konsekwencji powyższego, nie jest możliwe oderwanie prawa własności urządzeń elektroenergetycznych oświetlenia ulicznego, linii elektroenergetycznej, linii oświetleniowej czy jakichkolwiek innych urządzeń składających się na ww. linie od prawa własności do gruntu, na którym ww. urządzenia są posadowione. </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Niezależnie od problematyki prawa własności ponownie podkreślamy, iż zgodnie z art. 18 ust. 1 ust. 3 prawa energe</w:t>
      </w:r>
      <w:r>
        <w:rPr>
          <w:rFonts w:ascii="Calibri" w:hAnsi="Calibri"/>
          <w:sz w:val="22"/>
          <w:szCs w:val="22"/>
        </w:rPr>
        <w:t xml:space="preserve">tycznego do zadań </w:t>
      </w:r>
      <w:r w:rsidRPr="008B4904">
        <w:rPr>
          <w:rFonts w:ascii="Calibri" w:hAnsi="Calibri"/>
          <w:sz w:val="22"/>
          <w:szCs w:val="22"/>
        </w:rPr>
        <w:t xml:space="preserve">własnych </w:t>
      </w:r>
      <w:proofErr w:type="spellStart"/>
      <w:r w:rsidRPr="008B4904">
        <w:rPr>
          <w:rFonts w:ascii="Calibri" w:hAnsi="Calibri"/>
          <w:sz w:val="22"/>
          <w:szCs w:val="22"/>
        </w:rPr>
        <w:t>Współzamawiających</w:t>
      </w:r>
      <w:proofErr w:type="spellEnd"/>
      <w:r w:rsidRPr="008B4904">
        <w:rPr>
          <w:rFonts w:ascii="Calibri" w:hAnsi="Calibri"/>
          <w:sz w:val="22"/>
          <w:szCs w:val="22"/>
        </w:rPr>
        <w:t xml:space="preserve"> należy</w:t>
      </w:r>
      <w:r w:rsidRPr="00775440">
        <w:rPr>
          <w:rFonts w:ascii="Calibri" w:hAnsi="Calibri"/>
          <w:sz w:val="22"/>
          <w:szCs w:val="22"/>
        </w:rPr>
        <w:t xml:space="preserve"> finansowanie oświetlenia ulic, placów i dróg publicznych znajdujących się na terenie </w:t>
      </w:r>
      <w:proofErr w:type="spellStart"/>
      <w:r w:rsidRPr="0002117B">
        <w:rPr>
          <w:rFonts w:ascii="Calibri" w:hAnsi="Calibri"/>
          <w:sz w:val="22"/>
          <w:szCs w:val="22"/>
        </w:rPr>
        <w:t>Współzamawiających</w:t>
      </w:r>
      <w:proofErr w:type="spellEnd"/>
      <w:r w:rsidRPr="00775440">
        <w:rPr>
          <w:rFonts w:ascii="Calibri" w:hAnsi="Calibri"/>
          <w:sz w:val="22"/>
          <w:szCs w:val="22"/>
        </w:rPr>
        <w:t xml:space="preserve">. W związku z powyższym </w:t>
      </w:r>
      <w:proofErr w:type="spellStart"/>
      <w:r w:rsidRPr="008B4904">
        <w:rPr>
          <w:rFonts w:ascii="Calibri" w:hAnsi="Calibri"/>
          <w:sz w:val="22"/>
          <w:szCs w:val="22"/>
        </w:rPr>
        <w:t>Współzamawiający</w:t>
      </w:r>
      <w:proofErr w:type="spellEnd"/>
      <w:r w:rsidRPr="008B4904">
        <w:rPr>
          <w:rFonts w:ascii="Calibri" w:hAnsi="Calibri"/>
          <w:sz w:val="22"/>
          <w:szCs w:val="22"/>
        </w:rPr>
        <w:t xml:space="preserve"> ponoszą i będą ponosić</w:t>
      </w:r>
      <w:r w:rsidRPr="00775440">
        <w:rPr>
          <w:rFonts w:ascii="Calibri" w:hAnsi="Calibri"/>
          <w:sz w:val="22"/>
          <w:szCs w:val="22"/>
        </w:rPr>
        <w:t xml:space="preserve"> wskazane koszty, niezależnie od tego, komu będzie przysługiwało prawo własności względem urządzeń elektroenergetycznych oświetlenia ulicznego, linii elektroenergetycznej, linii oświetleniowej czy jakichkolwiek innych urządzeń składających się na ww. linie.</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 xml:space="preserve">Ponadto, zgodnie z art. 4j prawa energetycznego każdy odbiorca energii elektrycznej jest uprawniony do wyboru dowolnego sprzedawcy tej energii. W </w:t>
      </w:r>
      <w:r w:rsidRPr="008B4904">
        <w:rPr>
          <w:rFonts w:ascii="Calibri" w:hAnsi="Calibri"/>
          <w:sz w:val="22"/>
          <w:szCs w:val="22"/>
        </w:rPr>
        <w:t xml:space="preserve">konsekwencji </w:t>
      </w:r>
      <w:proofErr w:type="spellStart"/>
      <w:r w:rsidRPr="008B4904">
        <w:rPr>
          <w:rFonts w:ascii="Calibri" w:hAnsi="Calibri"/>
          <w:sz w:val="22"/>
          <w:szCs w:val="22"/>
        </w:rPr>
        <w:t>Współzamawiający</w:t>
      </w:r>
      <w:proofErr w:type="spellEnd"/>
      <w:r>
        <w:rPr>
          <w:rFonts w:ascii="Calibri" w:hAnsi="Calibri"/>
          <w:sz w:val="22"/>
          <w:szCs w:val="22"/>
        </w:rPr>
        <w:t xml:space="preserve"> są uprawnieni</w:t>
      </w:r>
      <w:r w:rsidRPr="00775440">
        <w:rPr>
          <w:rFonts w:ascii="Calibri" w:hAnsi="Calibri"/>
          <w:sz w:val="22"/>
          <w:szCs w:val="22"/>
        </w:rPr>
        <w:t xml:space="preserve"> do ogłoszenia przetargu na zakup energii elektrycznej.</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 xml:space="preserve">Dodatkowo, przepis art. 4j prawa energetycznego nie uzależnia bowiem prawa do wyboru sprzedawcy energii od posiadania tytułu własności do urządzeń. </w:t>
      </w:r>
    </w:p>
    <w:p w:rsidR="00884E2E" w:rsidRPr="00775440" w:rsidRDefault="00884E2E" w:rsidP="007F1FEE">
      <w:pPr>
        <w:pStyle w:val="ListParagraph1"/>
        <w:spacing w:line="240" w:lineRule="auto"/>
        <w:ind w:left="0"/>
        <w:rPr>
          <w:rFonts w:ascii="Calibri" w:hAnsi="Calibri"/>
          <w:sz w:val="22"/>
          <w:szCs w:val="22"/>
        </w:rPr>
      </w:pPr>
      <w:r w:rsidRPr="00775440">
        <w:rPr>
          <w:rFonts w:ascii="Calibri" w:hAnsi="Calibri"/>
          <w:sz w:val="22"/>
          <w:szCs w:val="22"/>
        </w:rPr>
        <w:t xml:space="preserve">Warto dodać, iż na mocy przepisu art. 140 </w:t>
      </w:r>
      <w:proofErr w:type="spellStart"/>
      <w:r w:rsidRPr="00775440">
        <w:rPr>
          <w:rFonts w:ascii="Calibri" w:hAnsi="Calibri"/>
          <w:sz w:val="22"/>
          <w:szCs w:val="22"/>
        </w:rPr>
        <w:t>kc</w:t>
      </w:r>
      <w:proofErr w:type="spellEnd"/>
      <w:r w:rsidRPr="00775440">
        <w:rPr>
          <w:rFonts w:ascii="Calibri" w:hAnsi="Calibri"/>
          <w:sz w:val="22"/>
          <w:szCs w:val="22"/>
        </w:rPr>
        <w:t xml:space="preserve">, nawet zakładając, </w:t>
      </w:r>
      <w:r w:rsidRPr="008B4904">
        <w:rPr>
          <w:rFonts w:ascii="Calibri" w:hAnsi="Calibri"/>
          <w:sz w:val="22"/>
          <w:szCs w:val="22"/>
        </w:rPr>
        <w:t xml:space="preserve">iż </w:t>
      </w:r>
      <w:proofErr w:type="spellStart"/>
      <w:r w:rsidRPr="008B4904">
        <w:rPr>
          <w:rFonts w:ascii="Calibri" w:hAnsi="Calibri"/>
          <w:sz w:val="22"/>
          <w:szCs w:val="22"/>
        </w:rPr>
        <w:t>Współzamawiający</w:t>
      </w:r>
      <w:proofErr w:type="spellEnd"/>
      <w:r w:rsidRPr="008B4904">
        <w:rPr>
          <w:rFonts w:ascii="Calibri" w:hAnsi="Calibri"/>
          <w:sz w:val="22"/>
          <w:szCs w:val="22"/>
        </w:rPr>
        <w:t xml:space="preserve"> nie byliby właścicielami urządzeń elektroenergetycznych oświetlenia ulicznego, </w:t>
      </w:r>
      <w:proofErr w:type="spellStart"/>
      <w:r w:rsidRPr="008B4904">
        <w:rPr>
          <w:rFonts w:ascii="Calibri" w:hAnsi="Calibri"/>
          <w:sz w:val="22"/>
          <w:szCs w:val="22"/>
        </w:rPr>
        <w:t>Współzamawiający</w:t>
      </w:r>
      <w:proofErr w:type="spellEnd"/>
      <w:r w:rsidRPr="008B4904">
        <w:rPr>
          <w:rFonts w:ascii="Calibri" w:hAnsi="Calibri"/>
          <w:sz w:val="22"/>
          <w:szCs w:val="22"/>
        </w:rPr>
        <w:t xml:space="preserve"> powinni co najwyżej uzyskać zgodę właściciela na zlecenie prac i usług związanych z oświetleniem oraz powinna zawrzeć odpowiednią, cywilnoprawną umowę w zakresie użytkowania przez </w:t>
      </w:r>
      <w:proofErr w:type="spellStart"/>
      <w:r w:rsidRPr="008B4904">
        <w:rPr>
          <w:rFonts w:ascii="Calibri" w:hAnsi="Calibri"/>
          <w:sz w:val="22"/>
          <w:szCs w:val="22"/>
        </w:rPr>
        <w:t>Współzamawiających</w:t>
      </w:r>
      <w:proofErr w:type="spellEnd"/>
      <w:r w:rsidRPr="008B4904">
        <w:rPr>
          <w:rFonts w:ascii="Calibri" w:hAnsi="Calibri"/>
          <w:sz w:val="22"/>
          <w:szCs w:val="22"/>
        </w:rPr>
        <w:t xml:space="preserve"> ww. urządzeń. W żadnym jednak wypadku właściciel urządzeń elektroenergetycznych oświetlenia </w:t>
      </w:r>
      <w:r w:rsidRPr="008B4904">
        <w:rPr>
          <w:rFonts w:ascii="Calibri" w:hAnsi="Calibri"/>
          <w:sz w:val="22"/>
          <w:szCs w:val="22"/>
        </w:rPr>
        <w:lastRenderedPageBreak/>
        <w:t xml:space="preserve">ulicznego nie uzyskałby prawa do ograniczenia </w:t>
      </w:r>
      <w:proofErr w:type="spellStart"/>
      <w:r w:rsidRPr="008B4904">
        <w:rPr>
          <w:rFonts w:ascii="Calibri" w:hAnsi="Calibri"/>
          <w:sz w:val="22"/>
          <w:szCs w:val="22"/>
        </w:rPr>
        <w:t>Współzamawiającemu</w:t>
      </w:r>
      <w:proofErr w:type="spellEnd"/>
      <w:r w:rsidRPr="008B4904">
        <w:rPr>
          <w:rFonts w:ascii="Calibri" w:hAnsi="Calibri"/>
          <w:sz w:val="22"/>
          <w:szCs w:val="22"/>
        </w:rPr>
        <w:t xml:space="preserve"> w wyborze sprzedawcy energii</w:t>
      </w:r>
      <w:r w:rsidRPr="00775440">
        <w:rPr>
          <w:rFonts w:ascii="Calibri" w:hAnsi="Calibri"/>
          <w:sz w:val="22"/>
          <w:szCs w:val="22"/>
        </w:rPr>
        <w:t xml:space="preserve"> elektrycznej.</w:t>
      </w:r>
    </w:p>
    <w:p w:rsidR="00884E2E" w:rsidRPr="0051575C" w:rsidRDefault="00884E2E" w:rsidP="007F1FEE">
      <w:pPr>
        <w:pStyle w:val="ListParagraph1"/>
        <w:spacing w:line="240" w:lineRule="auto"/>
        <w:ind w:left="0"/>
        <w:rPr>
          <w:rFonts w:ascii="Calibri" w:hAnsi="Calibri"/>
          <w:sz w:val="22"/>
          <w:szCs w:val="22"/>
        </w:rPr>
      </w:pPr>
      <w:r w:rsidRPr="0051575C">
        <w:rPr>
          <w:rFonts w:ascii="Calibri" w:hAnsi="Calibri" w:cs="Arial"/>
          <w:sz w:val="22"/>
          <w:szCs w:val="22"/>
        </w:rPr>
        <w:t>Zamawiający posiada tytuł prawny do dysponowania obiektami objętymi postępowaniem</w:t>
      </w:r>
      <w:r>
        <w:rPr>
          <w:rFonts w:ascii="Calibri" w:hAnsi="Calibri" w:cs="Arial"/>
          <w:sz w:val="22"/>
          <w:szCs w:val="22"/>
        </w:rPr>
        <w:t>.</w:t>
      </w:r>
    </w:p>
    <w:p w:rsidR="00884E2E" w:rsidRPr="0051575C" w:rsidRDefault="00884E2E" w:rsidP="007F1FEE">
      <w:pPr>
        <w:ind w:left="360"/>
        <w:rPr>
          <w:rFonts w:ascii="Calibri" w:hAnsi="Calibri"/>
          <w:sz w:val="22"/>
          <w:szCs w:val="22"/>
        </w:rPr>
      </w:pPr>
    </w:p>
    <w:p w:rsidR="00884E2E" w:rsidRPr="0051575C" w:rsidRDefault="00884E2E" w:rsidP="007F1FEE">
      <w:pPr>
        <w:rPr>
          <w:rFonts w:ascii="Calibri" w:hAnsi="Calibri"/>
          <w:b/>
          <w:sz w:val="22"/>
          <w:szCs w:val="22"/>
        </w:rPr>
      </w:pPr>
      <w:r w:rsidRPr="0051575C">
        <w:rPr>
          <w:rFonts w:ascii="Calibri" w:hAnsi="Calibri"/>
          <w:b/>
          <w:sz w:val="22"/>
          <w:szCs w:val="22"/>
        </w:rPr>
        <w:t>Pytanie 2</w:t>
      </w:r>
    </w:p>
    <w:p w:rsidR="00884E2E" w:rsidRDefault="00884E2E" w:rsidP="007F1FEE">
      <w:pPr>
        <w:rPr>
          <w:rFonts w:ascii="Calibri" w:hAnsi="Calibri"/>
          <w:sz w:val="22"/>
          <w:szCs w:val="22"/>
        </w:rPr>
      </w:pPr>
      <w:r w:rsidRPr="0051575C">
        <w:rPr>
          <w:rFonts w:ascii="Calibri" w:hAnsi="Calibri"/>
          <w:sz w:val="22"/>
          <w:szCs w:val="22"/>
        </w:rPr>
        <w:t>Kto jest obecnym Sprzedawcą energii elektrycznej na potrzeby obiektów objętych postępowaniem?</w:t>
      </w:r>
    </w:p>
    <w:p w:rsidR="00884E2E" w:rsidRPr="0051575C" w:rsidRDefault="00884E2E" w:rsidP="007F1FEE">
      <w:pPr>
        <w:rPr>
          <w:rFonts w:ascii="Calibri" w:hAnsi="Calibri"/>
          <w:sz w:val="22"/>
          <w:szCs w:val="22"/>
        </w:rPr>
      </w:pPr>
    </w:p>
    <w:p w:rsidR="00884E2E" w:rsidRPr="0051575C" w:rsidRDefault="00884E2E" w:rsidP="007F1FEE">
      <w:pPr>
        <w:pStyle w:val="ListParagraph1"/>
        <w:spacing w:line="240" w:lineRule="auto"/>
        <w:ind w:left="0" w:right="-3"/>
        <w:rPr>
          <w:rFonts w:ascii="Calibri" w:hAnsi="Calibri"/>
          <w:b/>
          <w:sz w:val="22"/>
          <w:szCs w:val="22"/>
        </w:rPr>
      </w:pPr>
      <w:r w:rsidRPr="0051575C">
        <w:rPr>
          <w:rFonts w:ascii="Calibri" w:hAnsi="Calibri"/>
          <w:b/>
          <w:sz w:val="22"/>
          <w:szCs w:val="22"/>
        </w:rPr>
        <w:t>Odpowiedź 2</w:t>
      </w:r>
    </w:p>
    <w:p w:rsidR="00884E2E" w:rsidRPr="0051575C" w:rsidRDefault="007F1FEE" w:rsidP="007F1FEE">
      <w:pPr>
        <w:pStyle w:val="ListParagraph1"/>
        <w:spacing w:line="240" w:lineRule="auto"/>
        <w:ind w:left="0" w:right="-3"/>
        <w:rPr>
          <w:rFonts w:ascii="Calibri" w:hAnsi="Calibri"/>
          <w:sz w:val="22"/>
          <w:szCs w:val="22"/>
        </w:rPr>
      </w:pPr>
      <w:r>
        <w:rPr>
          <w:rFonts w:ascii="Calibri" w:hAnsi="Calibri"/>
          <w:sz w:val="22"/>
          <w:szCs w:val="22"/>
        </w:rPr>
        <w:t>Zamawiający</w:t>
      </w:r>
      <w:r w:rsidR="00884E2E" w:rsidRPr="00E531ED">
        <w:rPr>
          <w:rFonts w:ascii="Calibri" w:hAnsi="Calibri"/>
          <w:sz w:val="22"/>
          <w:szCs w:val="22"/>
        </w:rPr>
        <w:t xml:space="preserve"> informuje, że </w:t>
      </w:r>
      <w:r w:rsidR="00884E2E">
        <w:rPr>
          <w:rFonts w:ascii="Calibri" w:hAnsi="Calibri"/>
          <w:sz w:val="22"/>
          <w:szCs w:val="22"/>
        </w:rPr>
        <w:t xml:space="preserve"> obecnym sprzedawcą jest PGE Obrót S.A.</w:t>
      </w:r>
    </w:p>
    <w:p w:rsidR="00884E2E" w:rsidRPr="0051575C" w:rsidRDefault="00884E2E" w:rsidP="007F1FEE">
      <w:pPr>
        <w:pStyle w:val="ListParagraph1"/>
        <w:spacing w:line="240" w:lineRule="auto"/>
        <w:ind w:left="0" w:right="-3"/>
        <w:rPr>
          <w:rFonts w:ascii="Calibri" w:hAnsi="Calibri"/>
          <w:sz w:val="22"/>
          <w:szCs w:val="22"/>
        </w:rPr>
      </w:pPr>
    </w:p>
    <w:p w:rsidR="00884E2E" w:rsidRPr="0051575C" w:rsidRDefault="00884E2E" w:rsidP="007F1FEE">
      <w:pPr>
        <w:pStyle w:val="ListParagraph1"/>
        <w:spacing w:line="240" w:lineRule="auto"/>
        <w:ind w:left="0" w:right="-3"/>
        <w:rPr>
          <w:rFonts w:ascii="Calibri" w:hAnsi="Calibri"/>
          <w:b/>
          <w:sz w:val="22"/>
          <w:szCs w:val="22"/>
        </w:rPr>
      </w:pPr>
      <w:r w:rsidRPr="0051575C">
        <w:rPr>
          <w:rFonts w:ascii="Calibri" w:hAnsi="Calibri"/>
          <w:b/>
          <w:sz w:val="22"/>
          <w:szCs w:val="22"/>
        </w:rPr>
        <w:t>Pytanie 3</w:t>
      </w:r>
    </w:p>
    <w:p w:rsidR="00884E2E" w:rsidRDefault="00884E2E" w:rsidP="007F1FEE">
      <w:pPr>
        <w:pStyle w:val="ListParagraph1"/>
        <w:spacing w:line="240" w:lineRule="auto"/>
        <w:ind w:left="0" w:right="-3"/>
        <w:rPr>
          <w:rFonts w:ascii="Calibri" w:hAnsi="Calibri"/>
          <w:sz w:val="22"/>
          <w:szCs w:val="22"/>
        </w:rPr>
      </w:pPr>
      <w:r w:rsidRPr="0051575C">
        <w:rPr>
          <w:rFonts w:ascii="Calibri" w:hAnsi="Calibri"/>
          <w:sz w:val="22"/>
          <w:szCs w:val="22"/>
        </w:rPr>
        <w:t>Czy możliwe jest podpisanie umowy drogą korespondencyjną?</w:t>
      </w:r>
    </w:p>
    <w:p w:rsidR="00884E2E" w:rsidRPr="0051575C" w:rsidRDefault="00884E2E" w:rsidP="007F1FEE">
      <w:pPr>
        <w:pStyle w:val="ListParagraph1"/>
        <w:spacing w:line="240" w:lineRule="auto"/>
        <w:ind w:left="0" w:right="-3"/>
        <w:rPr>
          <w:rFonts w:ascii="Calibri" w:hAnsi="Calibri"/>
          <w:sz w:val="22"/>
          <w:szCs w:val="22"/>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Odpowiedź 3</w:t>
      </w:r>
    </w:p>
    <w:p w:rsidR="00884E2E" w:rsidRDefault="007F1FEE" w:rsidP="007F1FEE">
      <w:pPr>
        <w:rPr>
          <w:rFonts w:ascii="Calibri" w:hAnsi="Calibri"/>
          <w:sz w:val="22"/>
          <w:szCs w:val="22"/>
          <w:lang w:eastAsia="en-US"/>
        </w:rPr>
      </w:pPr>
      <w:r>
        <w:rPr>
          <w:rFonts w:ascii="Calibri" w:hAnsi="Calibri"/>
          <w:sz w:val="22"/>
          <w:szCs w:val="22"/>
          <w:lang w:eastAsia="en-US"/>
        </w:rPr>
        <w:t>Zamawiający</w:t>
      </w:r>
      <w:r w:rsidR="00884E2E" w:rsidRPr="0051575C">
        <w:rPr>
          <w:rFonts w:ascii="Calibri" w:hAnsi="Calibri"/>
          <w:sz w:val="22"/>
          <w:szCs w:val="22"/>
          <w:lang w:eastAsia="en-US"/>
        </w:rPr>
        <w:t xml:space="preserve"> informuje, że możliwe jest podpisanie umowy drogą korespondencyjną.</w:t>
      </w:r>
    </w:p>
    <w:p w:rsidR="00884E2E" w:rsidRPr="0051575C" w:rsidRDefault="00884E2E" w:rsidP="007F1FEE">
      <w:pPr>
        <w:rPr>
          <w:rFonts w:ascii="Calibri" w:hAnsi="Calibri"/>
          <w:sz w:val="22"/>
          <w:szCs w:val="22"/>
          <w:lang w:eastAsia="en-US"/>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Pytanie 4</w:t>
      </w:r>
    </w:p>
    <w:p w:rsidR="00884E2E" w:rsidRDefault="00884E2E" w:rsidP="007F1FEE">
      <w:pPr>
        <w:jc w:val="both"/>
        <w:rPr>
          <w:rFonts w:ascii="Calibri" w:hAnsi="Calibri" w:cs="Arial"/>
          <w:sz w:val="22"/>
          <w:szCs w:val="22"/>
        </w:rPr>
      </w:pPr>
      <w:r w:rsidRPr="0051575C">
        <w:rPr>
          <w:rFonts w:ascii="Calibri" w:hAnsi="Calibri" w:cs="Arial"/>
          <w:sz w:val="22"/>
          <w:szCs w:val="22"/>
        </w:rPr>
        <w:t>Ad. § 6 ust. 9 Projektu umowy: automatyczne potrącanie kar umownych powoduje, że Wykonawca nie ma możliwości podjęcia jakichkolwiek działań zmierzających do ich nienaliczania. W związku z tym wnioskujemy o zmianę zapisu uwzględniającego naliczanie kar płatnych w terminie 14 dni od dnia otrzymania przez Wykonawcę noty obciążeniowej.</w:t>
      </w:r>
    </w:p>
    <w:p w:rsidR="00884E2E" w:rsidRPr="0051575C" w:rsidRDefault="00884E2E" w:rsidP="007F1FEE">
      <w:pPr>
        <w:rPr>
          <w:rFonts w:ascii="Calibri" w:hAnsi="Calibri" w:cs="Arial"/>
          <w:sz w:val="22"/>
          <w:szCs w:val="22"/>
        </w:rPr>
      </w:pPr>
    </w:p>
    <w:p w:rsidR="00884E2E" w:rsidRDefault="00884E2E" w:rsidP="007F1FEE">
      <w:pPr>
        <w:rPr>
          <w:rFonts w:ascii="Calibri" w:hAnsi="Calibri" w:cs="Arial"/>
          <w:b/>
          <w:sz w:val="22"/>
          <w:szCs w:val="22"/>
        </w:rPr>
      </w:pPr>
      <w:r w:rsidRPr="0051575C">
        <w:rPr>
          <w:rFonts w:ascii="Calibri" w:hAnsi="Calibri" w:cs="Arial"/>
          <w:b/>
          <w:sz w:val="22"/>
          <w:szCs w:val="22"/>
        </w:rPr>
        <w:t>Odpowiedź 4</w:t>
      </w:r>
    </w:p>
    <w:p w:rsidR="00884E2E" w:rsidRDefault="00884E2E" w:rsidP="007F1FEE">
      <w:pPr>
        <w:rPr>
          <w:rFonts w:ascii="Calibri" w:hAnsi="Calibri" w:cs="Arial"/>
          <w:sz w:val="22"/>
          <w:szCs w:val="22"/>
        </w:rPr>
      </w:pPr>
      <w:r w:rsidRPr="0002117B">
        <w:rPr>
          <w:rFonts w:ascii="Calibri" w:hAnsi="Calibri" w:cs="Arial"/>
          <w:sz w:val="22"/>
          <w:szCs w:val="22"/>
        </w:rPr>
        <w:t>Zamawiając</w:t>
      </w:r>
      <w:r w:rsidR="007F1FEE">
        <w:rPr>
          <w:rFonts w:ascii="Calibri" w:hAnsi="Calibri" w:cs="Arial"/>
          <w:sz w:val="22"/>
          <w:szCs w:val="22"/>
        </w:rPr>
        <w:t>y</w:t>
      </w:r>
      <w:r w:rsidRPr="0002117B">
        <w:rPr>
          <w:rFonts w:ascii="Calibri" w:hAnsi="Calibri" w:cs="Arial"/>
          <w:sz w:val="22"/>
          <w:szCs w:val="22"/>
        </w:rPr>
        <w:t xml:space="preserve"> informuje, że § 6 ust. 9 pozostaje bez zmian.</w:t>
      </w:r>
    </w:p>
    <w:p w:rsidR="00884E2E" w:rsidRPr="00846DB0" w:rsidRDefault="00884E2E" w:rsidP="007F1FEE">
      <w:pPr>
        <w:jc w:val="both"/>
        <w:rPr>
          <w:rFonts w:ascii="Calibri" w:hAnsi="Calibri"/>
          <w:sz w:val="22"/>
          <w:szCs w:val="22"/>
        </w:rPr>
      </w:pPr>
      <w:r w:rsidRPr="00846DB0">
        <w:rPr>
          <w:rFonts w:ascii="Calibri" w:hAnsi="Calibri"/>
          <w:sz w:val="22"/>
          <w:szCs w:val="22"/>
        </w:rPr>
        <w:t xml:space="preserve">Ponadto </w:t>
      </w:r>
      <w:r>
        <w:rPr>
          <w:rFonts w:ascii="Calibri" w:hAnsi="Calibri"/>
          <w:sz w:val="22"/>
          <w:szCs w:val="22"/>
        </w:rPr>
        <w:t xml:space="preserve">podkreśla, że </w:t>
      </w:r>
      <w:r w:rsidRPr="00846DB0">
        <w:rPr>
          <w:rFonts w:ascii="Calibri" w:hAnsi="Calibri"/>
          <w:sz w:val="22"/>
          <w:szCs w:val="22"/>
        </w:rPr>
        <w:t xml:space="preserve">Wykonawca na podstawie umowy jest zobowiązany wystawiać faktury na podstawie danych pomiarowo – rozliczeniowych otrzymywanych od OSD. W momencie, gdy Wykonawca nie będzie przestrzegał warunków umowy Zamawiający ma prawo, zgodnie z umową potrącić wartość kary umownej o czym poinformuje Wykonawcę składając dodatkowe oświadczenie. </w:t>
      </w:r>
    </w:p>
    <w:p w:rsidR="00884E2E" w:rsidRPr="00336B80" w:rsidRDefault="00884E2E" w:rsidP="007F1FEE">
      <w:pPr>
        <w:rPr>
          <w:rFonts w:ascii="Calibri" w:hAnsi="Calibri" w:cs="Arial"/>
          <w:sz w:val="22"/>
          <w:szCs w:val="22"/>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Pytanie 5</w:t>
      </w:r>
    </w:p>
    <w:p w:rsidR="00884E2E" w:rsidRDefault="00884E2E" w:rsidP="007F1FEE">
      <w:pPr>
        <w:jc w:val="both"/>
        <w:rPr>
          <w:rFonts w:ascii="Calibri" w:hAnsi="Calibri" w:cs="Arial"/>
          <w:sz w:val="22"/>
          <w:szCs w:val="22"/>
        </w:rPr>
      </w:pPr>
      <w:r w:rsidRPr="0051575C">
        <w:rPr>
          <w:rFonts w:ascii="Calibri" w:hAnsi="Calibri" w:cs="Arial"/>
          <w:sz w:val="22"/>
          <w:szCs w:val="22"/>
        </w:rPr>
        <w:t>Wnioskujemy o dodanie do § 8 ust. 1 Projektu umowy do zmienionych przepisów prawa energetycznego, zmieniając brzmienie na:” Wykonawcy przysługuje prawo złożenie do OSD wniosku o wstrzymanie dostarczania energii w przypadku, gdy Zamawiający zwleka z zapłatą za pobraną energię, co najmniej przez okres 30 dni po upływie terminu płatności.”</w:t>
      </w:r>
    </w:p>
    <w:p w:rsidR="00884E2E" w:rsidRPr="0051575C" w:rsidRDefault="00884E2E" w:rsidP="007F1FEE">
      <w:pPr>
        <w:rPr>
          <w:rFonts w:ascii="Calibri" w:hAnsi="Calibri" w:cs="Arial"/>
          <w:sz w:val="22"/>
          <w:szCs w:val="22"/>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Odpowiedź 5</w:t>
      </w:r>
    </w:p>
    <w:p w:rsidR="00884E2E" w:rsidRDefault="007F1FEE" w:rsidP="007F1FEE">
      <w:pPr>
        <w:rPr>
          <w:rFonts w:ascii="Calibri" w:hAnsi="Calibri" w:cs="Arial"/>
          <w:sz w:val="22"/>
          <w:szCs w:val="22"/>
        </w:rPr>
      </w:pPr>
      <w:r>
        <w:rPr>
          <w:rFonts w:ascii="Calibri" w:hAnsi="Calibri" w:cs="Arial"/>
          <w:sz w:val="22"/>
          <w:szCs w:val="22"/>
        </w:rPr>
        <w:t>Zamawiający  informuje</w:t>
      </w:r>
      <w:r w:rsidR="00884E2E" w:rsidRPr="00200FA0">
        <w:rPr>
          <w:rFonts w:ascii="Calibri" w:hAnsi="Calibri" w:cs="Arial"/>
          <w:sz w:val="22"/>
          <w:szCs w:val="22"/>
        </w:rPr>
        <w:t>, że zapis  w §  8 ust. 1 pozostaje bez zmian.</w:t>
      </w:r>
    </w:p>
    <w:p w:rsidR="00884E2E" w:rsidRPr="00200FA0" w:rsidRDefault="00884E2E" w:rsidP="007F1FEE">
      <w:pPr>
        <w:rPr>
          <w:rFonts w:ascii="Calibri" w:hAnsi="Calibri" w:cs="Arial"/>
          <w:sz w:val="22"/>
          <w:szCs w:val="22"/>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Pytanie 6</w:t>
      </w:r>
    </w:p>
    <w:p w:rsidR="00884E2E" w:rsidRDefault="00884E2E" w:rsidP="007F1FEE">
      <w:pPr>
        <w:jc w:val="both"/>
        <w:rPr>
          <w:rFonts w:ascii="Calibri" w:hAnsi="Calibri" w:cs="Arial"/>
          <w:sz w:val="22"/>
          <w:szCs w:val="22"/>
        </w:rPr>
      </w:pPr>
      <w:r w:rsidRPr="0051575C">
        <w:rPr>
          <w:rFonts w:ascii="Calibri" w:hAnsi="Calibri" w:cs="Arial"/>
          <w:sz w:val="22"/>
          <w:szCs w:val="22"/>
        </w:rPr>
        <w:t xml:space="preserve">Wnioskujemy o dodanie do § 10 ust. 4 lit b) Projektu umowy terminu wyznaczany przez Zamawiającego na usunięcie nieprawidłowości i dopiero po bezskutecznym upływie terminu Zamawiający miałby możliwość wypowiedzenia/rozwiązania umowy. </w:t>
      </w:r>
    </w:p>
    <w:p w:rsidR="00884E2E" w:rsidRPr="0051575C" w:rsidRDefault="00884E2E" w:rsidP="007F1FEE">
      <w:pPr>
        <w:rPr>
          <w:rFonts w:ascii="Calibri" w:hAnsi="Calibri" w:cs="Arial"/>
          <w:sz w:val="22"/>
          <w:szCs w:val="22"/>
        </w:rPr>
      </w:pPr>
    </w:p>
    <w:p w:rsidR="00884E2E" w:rsidRDefault="00884E2E" w:rsidP="007F1FEE">
      <w:pPr>
        <w:rPr>
          <w:rFonts w:ascii="Calibri" w:hAnsi="Calibri" w:cs="Arial"/>
          <w:b/>
          <w:sz w:val="22"/>
          <w:szCs w:val="22"/>
        </w:rPr>
      </w:pPr>
      <w:r w:rsidRPr="0051575C">
        <w:rPr>
          <w:rFonts w:ascii="Calibri" w:hAnsi="Calibri" w:cs="Arial"/>
          <w:b/>
          <w:sz w:val="22"/>
          <w:szCs w:val="22"/>
        </w:rPr>
        <w:t>Odpowiedź 6</w:t>
      </w:r>
    </w:p>
    <w:p w:rsidR="00884E2E" w:rsidRPr="00200FA0" w:rsidRDefault="00884E2E" w:rsidP="007F1FEE">
      <w:pPr>
        <w:rPr>
          <w:rFonts w:ascii="Calibri" w:hAnsi="Calibri" w:cs="Arial"/>
          <w:sz w:val="22"/>
          <w:szCs w:val="22"/>
        </w:rPr>
      </w:pPr>
      <w:r w:rsidRPr="00200FA0">
        <w:rPr>
          <w:rFonts w:ascii="Calibri" w:hAnsi="Calibri" w:cs="Arial"/>
          <w:sz w:val="22"/>
          <w:szCs w:val="22"/>
        </w:rPr>
        <w:t>Zamawiając</w:t>
      </w:r>
      <w:r w:rsidR="007F1FEE">
        <w:rPr>
          <w:rFonts w:ascii="Calibri" w:hAnsi="Calibri" w:cs="Arial"/>
          <w:sz w:val="22"/>
          <w:szCs w:val="22"/>
        </w:rPr>
        <w:t>y informuje</w:t>
      </w:r>
      <w:r w:rsidRPr="00200FA0">
        <w:rPr>
          <w:rFonts w:ascii="Calibri" w:hAnsi="Calibri" w:cs="Arial"/>
          <w:sz w:val="22"/>
          <w:szCs w:val="22"/>
        </w:rPr>
        <w:t>, że zapis  w § 10 ust. 4 lit b) pozostaje bez zmian.</w:t>
      </w:r>
    </w:p>
    <w:p w:rsidR="00884E2E" w:rsidRPr="0051575C" w:rsidRDefault="00884E2E" w:rsidP="007F1FEE">
      <w:pPr>
        <w:rPr>
          <w:rFonts w:ascii="Calibri" w:hAnsi="Calibri" w:cs="Arial"/>
          <w:b/>
          <w:sz w:val="22"/>
          <w:szCs w:val="22"/>
        </w:rPr>
      </w:pPr>
    </w:p>
    <w:p w:rsidR="00884E2E" w:rsidRPr="0051575C" w:rsidRDefault="00884E2E" w:rsidP="007F1FEE">
      <w:pPr>
        <w:rPr>
          <w:rFonts w:ascii="Calibri" w:hAnsi="Calibri" w:cs="Arial"/>
          <w:b/>
          <w:sz w:val="22"/>
          <w:szCs w:val="22"/>
        </w:rPr>
      </w:pPr>
      <w:r w:rsidRPr="0051575C">
        <w:rPr>
          <w:rFonts w:ascii="Calibri" w:hAnsi="Calibri" w:cs="Arial"/>
          <w:b/>
          <w:sz w:val="22"/>
          <w:szCs w:val="22"/>
        </w:rPr>
        <w:t>Pytanie 7</w:t>
      </w:r>
    </w:p>
    <w:p w:rsidR="00884E2E" w:rsidRDefault="00884E2E" w:rsidP="007F1FEE">
      <w:pPr>
        <w:jc w:val="both"/>
        <w:rPr>
          <w:rFonts w:ascii="Calibri" w:hAnsi="Calibri" w:cs="Arial"/>
          <w:sz w:val="22"/>
          <w:szCs w:val="22"/>
        </w:rPr>
      </w:pPr>
      <w:r w:rsidRPr="0051575C">
        <w:rPr>
          <w:rFonts w:ascii="Calibri" w:hAnsi="Calibri" w:cs="Arial"/>
          <w:sz w:val="22"/>
          <w:szCs w:val="22"/>
        </w:rPr>
        <w:t>W nawiązaniu do Pytania 4, wnioskujemy o wykreślenie z § 11 ust.10 część zdania w brzmieniu “o ile nie zostaną potrącone”</w:t>
      </w:r>
    </w:p>
    <w:p w:rsidR="00884E2E" w:rsidRPr="0051575C" w:rsidRDefault="00884E2E" w:rsidP="007F1FEE">
      <w:pPr>
        <w:rPr>
          <w:rFonts w:ascii="Calibri" w:hAnsi="Calibri" w:cs="Arial"/>
          <w:sz w:val="22"/>
          <w:szCs w:val="22"/>
        </w:rPr>
      </w:pPr>
    </w:p>
    <w:p w:rsidR="00884E2E" w:rsidRDefault="00884E2E" w:rsidP="007F1FEE">
      <w:pPr>
        <w:rPr>
          <w:rFonts w:ascii="Calibri" w:hAnsi="Calibri" w:cs="Arial"/>
          <w:b/>
          <w:sz w:val="22"/>
          <w:szCs w:val="22"/>
        </w:rPr>
      </w:pPr>
      <w:r w:rsidRPr="0051575C">
        <w:rPr>
          <w:rFonts w:ascii="Calibri" w:hAnsi="Calibri" w:cs="Arial"/>
          <w:b/>
          <w:sz w:val="22"/>
          <w:szCs w:val="22"/>
        </w:rPr>
        <w:t>Odpowiedź 7</w:t>
      </w:r>
    </w:p>
    <w:p w:rsidR="00884E2E" w:rsidRPr="00336B80" w:rsidRDefault="007F1FEE" w:rsidP="007F1FEE">
      <w:pPr>
        <w:pStyle w:val="Tekstkomentarza"/>
        <w:jc w:val="both"/>
        <w:rPr>
          <w:rFonts w:ascii="Calibri" w:hAnsi="Calibri" w:cs="Arial"/>
          <w:sz w:val="22"/>
          <w:szCs w:val="22"/>
        </w:rPr>
      </w:pPr>
      <w:r>
        <w:rPr>
          <w:rFonts w:ascii="Calibri" w:hAnsi="Calibri" w:cs="Arial"/>
          <w:sz w:val="22"/>
          <w:szCs w:val="22"/>
        </w:rPr>
        <w:t>Zamawiający informuje</w:t>
      </w:r>
      <w:r w:rsidR="00884E2E" w:rsidRPr="00336B80">
        <w:rPr>
          <w:rFonts w:ascii="Calibri" w:hAnsi="Calibri" w:cs="Arial"/>
          <w:sz w:val="22"/>
          <w:szCs w:val="22"/>
        </w:rPr>
        <w:t>, że zapis  w § 11 ust.10 pozostaje bez zmian.</w:t>
      </w:r>
    </w:p>
    <w:p w:rsidR="00884E2E" w:rsidRPr="001E6A05" w:rsidRDefault="00884E2E" w:rsidP="007F1FEE">
      <w:pPr>
        <w:pStyle w:val="Tekstkomentarza"/>
        <w:jc w:val="both"/>
        <w:rPr>
          <w:rFonts w:ascii="Calibri" w:hAnsi="Calibri" w:cs="Arial"/>
        </w:rPr>
      </w:pPr>
    </w:p>
    <w:p w:rsidR="00884E2E" w:rsidRPr="001E6A05" w:rsidRDefault="00884E2E" w:rsidP="007F1FEE">
      <w:pPr>
        <w:rPr>
          <w:rFonts w:ascii="Calibri" w:hAnsi="Calibri" w:cs="Arial"/>
          <w:sz w:val="20"/>
          <w:szCs w:val="20"/>
        </w:rPr>
      </w:pPr>
    </w:p>
    <w:p w:rsidR="00884E2E" w:rsidRPr="001E6A05" w:rsidRDefault="00884E2E" w:rsidP="007F1FEE">
      <w:pPr>
        <w:ind w:firstLine="708"/>
        <w:jc w:val="right"/>
        <w:rPr>
          <w:rFonts w:ascii="Calibri" w:hAnsi="Calibri" w:cs="Arial"/>
          <w:sz w:val="20"/>
          <w:szCs w:val="20"/>
        </w:rPr>
      </w:pPr>
    </w:p>
    <w:p w:rsidR="00884E2E" w:rsidRPr="001E6A05" w:rsidRDefault="00884E2E" w:rsidP="007F1FEE">
      <w:pPr>
        <w:rPr>
          <w:rFonts w:ascii="Calibri" w:hAnsi="Calibri"/>
          <w:sz w:val="20"/>
          <w:szCs w:val="20"/>
        </w:rPr>
      </w:pPr>
    </w:p>
    <w:sectPr w:rsidR="00884E2E" w:rsidRPr="001E6A05" w:rsidSect="007F1FEE">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4115F"/>
    <w:multiLevelType w:val="hybridMultilevel"/>
    <w:tmpl w:val="0326168C"/>
    <w:lvl w:ilvl="0" w:tplc="F4F030A8">
      <w:start w:val="1"/>
      <w:numFmt w:val="decimal"/>
      <w:lvlText w:val="%1."/>
      <w:lvlJc w:val="left"/>
      <w:pPr>
        <w:ind w:left="360"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145"/>
    <w:rsid w:val="000118E3"/>
    <w:rsid w:val="0002117B"/>
    <w:rsid w:val="000D57DF"/>
    <w:rsid w:val="00144984"/>
    <w:rsid w:val="00153ABB"/>
    <w:rsid w:val="00163BC9"/>
    <w:rsid w:val="00183310"/>
    <w:rsid w:val="001C7AC5"/>
    <w:rsid w:val="001E6A05"/>
    <w:rsid w:val="00200FA0"/>
    <w:rsid w:val="00283B6F"/>
    <w:rsid w:val="002C6145"/>
    <w:rsid w:val="00304C53"/>
    <w:rsid w:val="00306306"/>
    <w:rsid w:val="00336B80"/>
    <w:rsid w:val="003424F9"/>
    <w:rsid w:val="00344069"/>
    <w:rsid w:val="003B53FB"/>
    <w:rsid w:val="00402544"/>
    <w:rsid w:val="00461A4B"/>
    <w:rsid w:val="004F0C80"/>
    <w:rsid w:val="0051575C"/>
    <w:rsid w:val="005239A7"/>
    <w:rsid w:val="005249F1"/>
    <w:rsid w:val="00570555"/>
    <w:rsid w:val="00582696"/>
    <w:rsid w:val="00701703"/>
    <w:rsid w:val="00714815"/>
    <w:rsid w:val="00773B46"/>
    <w:rsid w:val="00774BFD"/>
    <w:rsid w:val="00775440"/>
    <w:rsid w:val="007F1FEE"/>
    <w:rsid w:val="00846DB0"/>
    <w:rsid w:val="00873995"/>
    <w:rsid w:val="00874E9A"/>
    <w:rsid w:val="00884E2E"/>
    <w:rsid w:val="008A64DD"/>
    <w:rsid w:val="008B4904"/>
    <w:rsid w:val="008B6C27"/>
    <w:rsid w:val="0096330C"/>
    <w:rsid w:val="009B294A"/>
    <w:rsid w:val="009F60D8"/>
    <w:rsid w:val="009F731B"/>
    <w:rsid w:val="00A63468"/>
    <w:rsid w:val="00B22EC1"/>
    <w:rsid w:val="00B46968"/>
    <w:rsid w:val="00D13DF5"/>
    <w:rsid w:val="00E11FD2"/>
    <w:rsid w:val="00E15E2F"/>
    <w:rsid w:val="00E531ED"/>
    <w:rsid w:val="00EC67BB"/>
    <w:rsid w:val="00F93B8D"/>
    <w:rsid w:val="00F97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399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rsid w:val="002C6145"/>
    <w:rPr>
      <w:rFonts w:ascii="Arial" w:hAnsi="Arial"/>
      <w:sz w:val="20"/>
      <w:szCs w:val="20"/>
    </w:rPr>
  </w:style>
  <w:style w:type="character" w:customStyle="1" w:styleId="TekstkomentarzaZnak">
    <w:name w:val="Tekst komentarza Znak"/>
    <w:basedOn w:val="Domylnaczcionkaakapitu"/>
    <w:link w:val="Tekstkomentarza"/>
    <w:uiPriority w:val="99"/>
    <w:locked/>
    <w:rsid w:val="002C6145"/>
    <w:rPr>
      <w:rFonts w:ascii="Arial" w:hAnsi="Arial" w:cs="Times New Roman"/>
      <w:lang w:val="pl-PL" w:eastAsia="pl-PL"/>
    </w:rPr>
  </w:style>
  <w:style w:type="paragraph" w:styleId="Nagwek">
    <w:name w:val="header"/>
    <w:basedOn w:val="Normalny"/>
    <w:link w:val="NagwekZnak"/>
    <w:uiPriority w:val="99"/>
    <w:rsid w:val="002C6145"/>
    <w:pPr>
      <w:tabs>
        <w:tab w:val="center" w:pos="4536"/>
        <w:tab w:val="right" w:pos="9072"/>
      </w:tabs>
    </w:pPr>
    <w:rPr>
      <w:rFonts w:ascii="Arial" w:hAnsi="Arial"/>
      <w:szCs w:val="20"/>
    </w:rPr>
  </w:style>
  <w:style w:type="character" w:customStyle="1" w:styleId="NagwekZnak">
    <w:name w:val="Nagłówek Znak"/>
    <w:basedOn w:val="Domylnaczcionkaakapitu"/>
    <w:link w:val="Nagwek"/>
    <w:uiPriority w:val="99"/>
    <w:locked/>
    <w:rsid w:val="002C6145"/>
    <w:rPr>
      <w:rFonts w:ascii="Arial" w:hAnsi="Arial" w:cs="Times New Roman"/>
      <w:sz w:val="24"/>
      <w:lang w:val="pl-PL" w:eastAsia="pl-PL" w:bidi="ar-SA"/>
    </w:rPr>
  </w:style>
  <w:style w:type="paragraph" w:customStyle="1" w:styleId="ListParagraph1">
    <w:name w:val="List Paragraph1"/>
    <w:basedOn w:val="Normalny"/>
    <w:uiPriority w:val="99"/>
    <w:rsid w:val="00774BFD"/>
    <w:pPr>
      <w:suppressAutoHyphens/>
      <w:spacing w:line="320" w:lineRule="exact"/>
      <w:ind w:left="720"/>
      <w:contextualSpacing/>
      <w:jc w:val="both"/>
    </w:pPr>
    <w:rPr>
      <w:rFonts w:ascii="Arial Narrow" w:hAnsi="Arial Narrow"/>
      <w:sz w:val="20"/>
      <w:lang w:eastAsia="ar-SA"/>
    </w:rPr>
  </w:style>
  <w:style w:type="paragraph" w:styleId="Mapadokumentu">
    <w:name w:val="Document Map"/>
    <w:basedOn w:val="Normalny"/>
    <w:link w:val="MapadokumentuZnak"/>
    <w:uiPriority w:val="99"/>
    <w:semiHidden/>
    <w:rsid w:val="00461A4B"/>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867</Words>
  <Characters>5202</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Warszawa, 04</vt:lpstr>
    </vt:vector>
  </TitlesOfParts>
  <Company>newPower</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04</dc:title>
  <dc:subject/>
  <dc:creator>Marcin</dc:creator>
  <cp:keywords/>
  <dc:description/>
  <cp:lastModifiedBy>Justyna Młyńczak</cp:lastModifiedBy>
  <cp:revision>6</cp:revision>
  <dcterms:created xsi:type="dcterms:W3CDTF">2014-03-03T09:26:00Z</dcterms:created>
  <dcterms:modified xsi:type="dcterms:W3CDTF">2014-03-04T11:07:00Z</dcterms:modified>
</cp:coreProperties>
</file>