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4F5567">
      <w:pPr>
        <w:rPr>
          <w:rFonts w:cs="Arial"/>
          <w:b/>
          <w:sz w:val="22"/>
        </w:rPr>
      </w:pPr>
      <w:r w:rsidRPr="004F5567">
        <w:rPr>
          <w:rFonts w:cs="Arial"/>
          <w:b/>
          <w:sz w:val="22"/>
        </w:rPr>
        <w:t xml:space="preserve">D–04.04.02    PODBUDOWA Z KRUSZYWA ŁAMANEGO  </w:t>
      </w:r>
      <w:r>
        <w:rPr>
          <w:rFonts w:cs="Arial"/>
          <w:b/>
          <w:sz w:val="22"/>
        </w:rPr>
        <w:t>STABILIZOWANEGO</w:t>
      </w:r>
    </w:p>
    <w:p w:rsidR="00A319B4" w:rsidRPr="004F5567" w:rsidRDefault="00A319B4" w:rsidP="004F5567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                      MECHANICZNIE ( RUCH KR1-KR2)</w:t>
      </w:r>
    </w:p>
    <w:p w:rsidR="00A319B4" w:rsidRPr="00F37C5F" w:rsidRDefault="00A319B4" w:rsidP="00251A1D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                                        </w:t>
      </w:r>
    </w:p>
    <w:p w:rsidR="00A319B4" w:rsidRPr="00251A1D" w:rsidRDefault="00A319B4" w:rsidP="00F37C5F">
      <w:pPr>
        <w:rPr>
          <w:rFonts w:cs="Arial"/>
          <w:b/>
          <w:sz w:val="22"/>
        </w:rPr>
      </w:pPr>
      <w:r w:rsidRPr="00251A1D">
        <w:rPr>
          <w:rFonts w:cs="Arial"/>
          <w:b/>
          <w:sz w:val="22"/>
        </w:rPr>
        <w:t xml:space="preserve">1. WSTĘP  </w:t>
      </w:r>
    </w:p>
    <w:p w:rsidR="00A319B4" w:rsidRPr="00251A1D" w:rsidRDefault="00A319B4" w:rsidP="00F37C5F">
      <w:pPr>
        <w:rPr>
          <w:rFonts w:cs="Arial"/>
          <w:b/>
          <w:sz w:val="22"/>
        </w:rPr>
      </w:pPr>
      <w:r w:rsidRPr="00251A1D">
        <w:rPr>
          <w:rFonts w:cs="Arial"/>
          <w:b/>
          <w:sz w:val="22"/>
        </w:rPr>
        <w:t>1.1. Przedmiot S</w:t>
      </w:r>
      <w:r>
        <w:rPr>
          <w:rFonts w:cs="Arial"/>
          <w:b/>
          <w:sz w:val="22"/>
        </w:rPr>
        <w:t>S</w:t>
      </w:r>
      <w:r w:rsidRPr="00251A1D">
        <w:rPr>
          <w:rFonts w:cs="Arial"/>
          <w:b/>
          <w:sz w:val="22"/>
        </w:rPr>
        <w:t xml:space="preserve">T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Przedmiotem niniejszej specyfikacji techn</w:t>
      </w:r>
      <w:r>
        <w:rPr>
          <w:rFonts w:cs="Arial"/>
          <w:sz w:val="22"/>
        </w:rPr>
        <w:t xml:space="preserve">icznej (SST) są wymagania dotyczące wykonania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i odbioru </w:t>
      </w:r>
      <w:r w:rsidRPr="00F37C5F">
        <w:rPr>
          <w:rFonts w:cs="Arial"/>
          <w:sz w:val="22"/>
        </w:rPr>
        <w:t>robót  związanych  z  wykonywaniem  podbudowy  z  kruszywa  łamanego  sta</w:t>
      </w:r>
      <w:r>
        <w:rPr>
          <w:rFonts w:cs="Arial"/>
          <w:sz w:val="22"/>
        </w:rPr>
        <w:t>bilizowanego  mechanicznie  w r</w:t>
      </w:r>
      <w:r w:rsidRPr="00F37C5F">
        <w:rPr>
          <w:rFonts w:cs="Arial"/>
          <w:sz w:val="22"/>
        </w:rPr>
        <w:t xml:space="preserve">amach </w:t>
      </w:r>
      <w:r>
        <w:rPr>
          <w:rFonts w:cs="Arial"/>
          <w:sz w:val="22"/>
        </w:rPr>
        <w:t xml:space="preserve"> przebudów dróg powiatowych w Powiecie Jędrzejowskim.</w:t>
      </w:r>
    </w:p>
    <w:p w:rsidR="00A319B4" w:rsidRPr="00932F1A" w:rsidRDefault="00A319B4" w:rsidP="00F37C5F">
      <w:pPr>
        <w:rPr>
          <w:rFonts w:cs="Arial"/>
          <w:b/>
          <w:sz w:val="22"/>
        </w:rPr>
      </w:pPr>
      <w:r w:rsidRPr="00932F1A">
        <w:rPr>
          <w:rFonts w:cs="Arial"/>
          <w:b/>
          <w:sz w:val="22"/>
        </w:rPr>
        <w:t>1.2. Zakres stosowania S</w:t>
      </w:r>
      <w:r>
        <w:rPr>
          <w:rFonts w:cs="Arial"/>
          <w:b/>
          <w:sz w:val="22"/>
        </w:rPr>
        <w:t>S</w:t>
      </w:r>
      <w:r w:rsidRPr="00932F1A">
        <w:rPr>
          <w:rFonts w:cs="Arial"/>
          <w:b/>
          <w:sz w:val="22"/>
        </w:rPr>
        <w:t xml:space="preserve">T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Szczegółowa </w:t>
      </w:r>
      <w:r w:rsidRPr="00F37C5F">
        <w:rPr>
          <w:rFonts w:cs="Arial"/>
          <w:sz w:val="22"/>
        </w:rPr>
        <w:t>Specyfikacja  techniczna  (</w:t>
      </w:r>
      <w:r>
        <w:rPr>
          <w:rFonts w:cs="Arial"/>
          <w:sz w:val="22"/>
        </w:rPr>
        <w:t>S</w:t>
      </w:r>
      <w:r w:rsidRPr="00F37C5F">
        <w:rPr>
          <w:rFonts w:cs="Arial"/>
          <w:sz w:val="22"/>
        </w:rPr>
        <w:t>ST)  stosowana  jest  jako  dokument  przetargowy  i  k</w:t>
      </w:r>
      <w:r>
        <w:rPr>
          <w:rFonts w:cs="Arial"/>
          <w:sz w:val="22"/>
        </w:rPr>
        <w:t>ontraktowy  przy  zlecaniu  i r</w:t>
      </w:r>
      <w:r w:rsidRPr="00F37C5F">
        <w:rPr>
          <w:rFonts w:cs="Arial"/>
          <w:sz w:val="22"/>
        </w:rPr>
        <w:t xml:space="preserve">ealizacji robót wymienionych punkcie 1.1.  </w:t>
      </w:r>
    </w:p>
    <w:p w:rsidR="00A319B4" w:rsidRPr="00932F1A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1.3. Zakres robót objętych SST  </w:t>
      </w:r>
    </w:p>
    <w:p w:rsidR="00A319B4" w:rsidRPr="00F37C5F" w:rsidRDefault="00A319B4" w:rsidP="00DC7E23">
      <w:pPr>
        <w:rPr>
          <w:rFonts w:cs="Arial"/>
          <w:sz w:val="22"/>
        </w:rPr>
      </w:pPr>
      <w:r w:rsidRPr="00F37C5F">
        <w:rPr>
          <w:rFonts w:cs="Arial"/>
          <w:sz w:val="22"/>
        </w:rPr>
        <w:t>Ustalenia  zawarte  w  niniejszej  specyfikacji  dotyczą  zasad  prowadzenia  r</w:t>
      </w:r>
      <w:r>
        <w:rPr>
          <w:rFonts w:cs="Arial"/>
          <w:sz w:val="22"/>
        </w:rPr>
        <w:t>obót  związanych  z  wykonywa</w:t>
      </w:r>
      <w:r w:rsidRPr="00F37C5F">
        <w:rPr>
          <w:rFonts w:cs="Arial"/>
          <w:sz w:val="22"/>
        </w:rPr>
        <w:t>niem</w:t>
      </w:r>
      <w:r>
        <w:rPr>
          <w:rFonts w:cs="Arial"/>
          <w:sz w:val="22"/>
        </w:rPr>
        <w:t xml:space="preserve"> podbudowy z kruszywa łamanego stabilizowanego mechanicznie.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Podbudowę  z  kruszyw  stabilizowanych  mechanicznie  wykonuje  się,  zgodnie</w:t>
      </w:r>
      <w:r>
        <w:rPr>
          <w:rFonts w:cs="Arial"/>
          <w:sz w:val="22"/>
        </w:rPr>
        <w:t xml:space="preserve">  z  ustaleniami  podanymi  w </w:t>
      </w:r>
      <w:r w:rsidRPr="00F37C5F">
        <w:rPr>
          <w:rFonts w:cs="Arial"/>
          <w:sz w:val="22"/>
        </w:rPr>
        <w:t>dokumen</w:t>
      </w:r>
      <w:r>
        <w:rPr>
          <w:rFonts w:cs="Arial"/>
          <w:sz w:val="22"/>
        </w:rPr>
        <w:t xml:space="preserve">tacji projektowej, wg </w:t>
      </w:r>
      <w:r w:rsidRPr="00DC7E23">
        <w:rPr>
          <w:rFonts w:cs="Arial"/>
          <w:i/>
          <w:sz w:val="22"/>
        </w:rPr>
        <w:t xml:space="preserve">Katalogu Typowych Konstrukcji Nawierzchni Podatnych i Półsztywnych.  </w:t>
      </w:r>
    </w:p>
    <w:p w:rsidR="00A319B4" w:rsidRPr="00932F1A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1.4. Określenia podstawowe  </w:t>
      </w:r>
    </w:p>
    <w:p w:rsidR="00A319B4" w:rsidRPr="00F37C5F" w:rsidRDefault="00A319B4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1.4.1.</w:t>
      </w:r>
      <w:r w:rsidRPr="00F37C5F">
        <w:rPr>
          <w:rFonts w:cs="Arial"/>
          <w:sz w:val="22"/>
        </w:rPr>
        <w:t xml:space="preserve">  Podbudowa  z  kruszywa  łamanego  stabilizowanego  mechanicznie  -  j</w:t>
      </w:r>
      <w:r>
        <w:rPr>
          <w:rFonts w:cs="Arial"/>
          <w:sz w:val="22"/>
        </w:rPr>
        <w:t>edna  lub  więcej  warstw  zag</w:t>
      </w:r>
      <w:r w:rsidRPr="00F37C5F">
        <w:rPr>
          <w:rFonts w:cs="Arial"/>
          <w:sz w:val="22"/>
        </w:rPr>
        <w:t>ęszczonej mieszanki, która stanowi warstw</w:t>
      </w:r>
      <w:r>
        <w:rPr>
          <w:rFonts w:cs="Arial"/>
          <w:sz w:val="22"/>
        </w:rPr>
        <w:t xml:space="preserve">ę nośną nawierzchni drogowej.  </w:t>
      </w:r>
    </w:p>
    <w:p w:rsidR="00A319B4" w:rsidRPr="00F37C5F" w:rsidRDefault="00A319B4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1.4.2.</w:t>
      </w:r>
      <w:r w:rsidRPr="00F37C5F">
        <w:rPr>
          <w:rFonts w:cs="Arial"/>
          <w:sz w:val="22"/>
        </w:rPr>
        <w:t xml:space="preserve">  Stabilizacja  mechaniczna  -  proces  technologiczny,  polegający  na </w:t>
      </w:r>
      <w:r>
        <w:rPr>
          <w:rFonts w:cs="Arial"/>
          <w:sz w:val="22"/>
        </w:rPr>
        <w:t xml:space="preserve"> odpowiednim  zagęszczeniu  w </w:t>
      </w:r>
      <w:r w:rsidRPr="00F37C5F">
        <w:rPr>
          <w:rFonts w:cs="Arial"/>
          <w:sz w:val="22"/>
        </w:rPr>
        <w:t>optymalnej wilgotności kruszywa o wł</w:t>
      </w:r>
      <w:r>
        <w:rPr>
          <w:rFonts w:cs="Arial"/>
          <w:sz w:val="22"/>
        </w:rPr>
        <w:t xml:space="preserve">aściwie dobranym uziarnieniu.  </w:t>
      </w:r>
    </w:p>
    <w:p w:rsidR="00A319B4" w:rsidRPr="00F37C5F" w:rsidRDefault="00A319B4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1.4.3.</w:t>
      </w:r>
      <w:r w:rsidRPr="00F37C5F">
        <w:rPr>
          <w:rFonts w:cs="Arial"/>
          <w:sz w:val="22"/>
        </w:rPr>
        <w:t xml:space="preserve">  Pozostałe  określenia  podstawowe  są  zgodne  z  obowiązującymi,  odpowiednimi  normami  oraz  z definicjami podanymi w ST D–M–00.00.00 „Wymagania ogólne” pkt 1.4.  </w:t>
      </w:r>
    </w:p>
    <w:p w:rsidR="00A319B4" w:rsidRPr="00932F1A" w:rsidRDefault="00A319B4" w:rsidP="00F37C5F">
      <w:pPr>
        <w:rPr>
          <w:rFonts w:cs="Arial"/>
          <w:b/>
          <w:sz w:val="22"/>
        </w:rPr>
      </w:pPr>
      <w:r w:rsidRPr="00932F1A">
        <w:rPr>
          <w:rFonts w:cs="Arial"/>
          <w:b/>
          <w:sz w:val="22"/>
        </w:rPr>
        <w:t xml:space="preserve">1.5. Ogólne wymagania dotyczące robót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robót podano w ST D–M–00.00.00 „Wymagania ogólne”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pkt 1.5.  </w:t>
      </w:r>
    </w:p>
    <w:p w:rsidR="00A319B4" w:rsidRPr="00C25648" w:rsidRDefault="00A319B4" w:rsidP="00F37C5F">
      <w:pPr>
        <w:rPr>
          <w:rFonts w:cs="Arial"/>
          <w:b/>
          <w:sz w:val="22"/>
        </w:rPr>
      </w:pPr>
      <w:r w:rsidRPr="00C25648">
        <w:rPr>
          <w:rFonts w:cs="Arial"/>
          <w:b/>
          <w:sz w:val="22"/>
        </w:rPr>
        <w:t xml:space="preserve">2. MATERIAŁY  </w:t>
      </w:r>
    </w:p>
    <w:p w:rsidR="00A319B4" w:rsidRPr="00C25648" w:rsidRDefault="00A319B4" w:rsidP="00F37C5F">
      <w:pPr>
        <w:rPr>
          <w:rFonts w:cs="Arial"/>
          <w:b/>
          <w:sz w:val="22"/>
        </w:rPr>
      </w:pPr>
      <w:r w:rsidRPr="00C25648">
        <w:rPr>
          <w:rFonts w:cs="Arial"/>
          <w:b/>
          <w:sz w:val="22"/>
        </w:rPr>
        <w:t xml:space="preserve">2.1. Ogólne wymagania dotyczące materiałów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wymagania dotyczące materiałów, ich pozyskiwania i składowani</w:t>
      </w:r>
      <w:r>
        <w:rPr>
          <w:rFonts w:cs="Arial"/>
          <w:sz w:val="22"/>
        </w:rPr>
        <w:t xml:space="preserve">a, podano w ST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D-M-U-00.00.00 </w:t>
      </w:r>
      <w:r w:rsidRPr="00F37C5F">
        <w:rPr>
          <w:rFonts w:cs="Arial"/>
          <w:sz w:val="22"/>
        </w:rPr>
        <w:t xml:space="preserve">„Wymagania ogólne” pkt 2.  </w:t>
      </w:r>
    </w:p>
    <w:p w:rsidR="00A319B4" w:rsidRPr="00BB01CC" w:rsidRDefault="00A319B4" w:rsidP="00F37C5F">
      <w:pPr>
        <w:rPr>
          <w:rFonts w:cs="Arial"/>
          <w:b/>
          <w:sz w:val="22"/>
        </w:rPr>
      </w:pPr>
      <w:r w:rsidRPr="00BB01CC">
        <w:rPr>
          <w:rFonts w:cs="Arial"/>
          <w:b/>
          <w:sz w:val="22"/>
        </w:rPr>
        <w:t xml:space="preserve">2.2. Rodzaje materiałów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Materiałem  do  wykonania  podbudowy  z  kruszyw  łamanych  stabilizowanyc</w:t>
      </w:r>
      <w:r>
        <w:rPr>
          <w:rFonts w:cs="Arial"/>
          <w:sz w:val="22"/>
        </w:rPr>
        <w:t xml:space="preserve">h  mechanicznie  powinno  być </w:t>
      </w:r>
      <w:r w:rsidRPr="00F37C5F">
        <w:rPr>
          <w:rFonts w:cs="Arial"/>
          <w:sz w:val="22"/>
        </w:rPr>
        <w:t xml:space="preserve">kruszywo łamane, uzyskane w wyniku przekruszenia surowca.   Kruszywo powinno być jednorodne bez zanieczyszczeń obcych i bez domieszek gliny.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Do zraszania kruszywa należy stosować wodę.</w:t>
      </w:r>
      <w:r w:rsidRPr="00F37C5F">
        <w:rPr>
          <w:rFonts w:cs="Arial"/>
          <w:sz w:val="22"/>
        </w:rPr>
        <w:t xml:space="preserve"> </w:t>
      </w:r>
    </w:p>
    <w:p w:rsidR="00A319B4" w:rsidRPr="00BB01CC" w:rsidRDefault="00A319B4" w:rsidP="00F37C5F">
      <w:pPr>
        <w:rPr>
          <w:rFonts w:cs="Arial"/>
          <w:b/>
          <w:sz w:val="22"/>
        </w:rPr>
      </w:pPr>
      <w:r w:rsidRPr="00BB01CC">
        <w:rPr>
          <w:rFonts w:cs="Arial"/>
          <w:b/>
          <w:sz w:val="22"/>
        </w:rPr>
        <w:t xml:space="preserve">2.3. Wymagania dla materiałów  </w:t>
      </w:r>
    </w:p>
    <w:p w:rsidR="00A319B4" w:rsidRPr="00F37C5F" w:rsidRDefault="00A319B4" w:rsidP="00F37C5F">
      <w:pPr>
        <w:rPr>
          <w:rFonts w:cs="Arial"/>
          <w:sz w:val="22"/>
        </w:rPr>
      </w:pPr>
      <w:r w:rsidRPr="00BB01CC">
        <w:rPr>
          <w:rFonts w:cs="Arial"/>
          <w:b/>
          <w:sz w:val="22"/>
        </w:rPr>
        <w:t xml:space="preserve">2.3.1. Kruszywo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Tablica  1.  Wymagania  wobec  kruszyw  do  mieszanek  niezwiązanyc</w:t>
      </w:r>
      <w:r>
        <w:rPr>
          <w:rFonts w:cs="Arial"/>
          <w:sz w:val="22"/>
        </w:rPr>
        <w:t xml:space="preserve">h  do </w:t>
      </w:r>
      <w:r w:rsidRPr="00F37C5F">
        <w:rPr>
          <w:rFonts w:cs="Arial"/>
          <w:sz w:val="22"/>
        </w:rPr>
        <w:t>warstw</w:t>
      </w:r>
      <w:r>
        <w:rPr>
          <w:rFonts w:cs="Arial"/>
          <w:sz w:val="22"/>
        </w:rPr>
        <w:t>y</w:t>
      </w:r>
      <w:r w:rsidRPr="00F37C5F">
        <w:rPr>
          <w:rFonts w:cs="Arial"/>
          <w:sz w:val="22"/>
        </w:rPr>
        <w:t xml:space="preserve">  podbudowy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9"/>
        <w:gridCol w:w="2505"/>
        <w:gridCol w:w="1937"/>
        <w:gridCol w:w="1878"/>
        <w:gridCol w:w="1589"/>
      </w:tblGrid>
      <w:tr w:rsidR="00A319B4" w:rsidRPr="00595591" w:rsidTr="00595591">
        <w:tc>
          <w:tcPr>
            <w:tcW w:w="1379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Rozdz. 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 PN-EN 13242:2004</w:t>
            </w:r>
          </w:p>
        </w:tc>
        <w:tc>
          <w:tcPr>
            <w:tcW w:w="2505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Właściwość</w:t>
            </w:r>
          </w:p>
        </w:tc>
        <w:tc>
          <w:tcPr>
            <w:tcW w:w="3815" w:type="dxa"/>
            <w:gridSpan w:val="2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Wymagania wobec kruszywa do mieszanek niezwiązanych przeznaczonych do podbudowy nawierzchni drogi obciążonej ruchem KR1-2</w:t>
            </w:r>
          </w:p>
        </w:tc>
        <w:tc>
          <w:tcPr>
            <w:tcW w:w="1589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Odniesienie do tablicy w PN-EN 13242:2004</w:t>
            </w:r>
          </w:p>
        </w:tc>
      </w:tr>
      <w:tr w:rsidR="00A319B4" w:rsidRPr="00595591" w:rsidTr="00595591">
        <w:tc>
          <w:tcPr>
            <w:tcW w:w="1379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1937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podbudowa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pomocnicza</w:t>
            </w:r>
          </w:p>
        </w:tc>
        <w:tc>
          <w:tcPr>
            <w:tcW w:w="1878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podbudowa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zasadnicza</w:t>
            </w:r>
          </w:p>
        </w:tc>
        <w:tc>
          <w:tcPr>
            <w:tcW w:w="1589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c>
          <w:tcPr>
            <w:tcW w:w="1379" w:type="dxa"/>
            <w:vMerge w:val="restart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   4.1-4.2</w:t>
            </w:r>
          </w:p>
        </w:tc>
        <w:tc>
          <w:tcPr>
            <w:tcW w:w="2505" w:type="dxa"/>
            <w:vMerge w:val="restart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Zestaw sit #</w:t>
            </w:r>
          </w:p>
        </w:tc>
        <w:tc>
          <w:tcPr>
            <w:tcW w:w="3815" w:type="dxa"/>
            <w:gridSpan w:val="2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   0, 063; 0,5; 1; 2; 4; 5,6; 8; 11,2; 16; 22,4; 31,5; 45; 63 i 90</w:t>
            </w:r>
          </w:p>
        </w:tc>
        <w:tc>
          <w:tcPr>
            <w:tcW w:w="1589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</w:t>
            </w:r>
          </w:p>
        </w:tc>
      </w:tr>
      <w:tr w:rsidR="00A319B4" w:rsidRPr="00595591" w:rsidTr="00595591">
        <w:tc>
          <w:tcPr>
            <w:tcW w:w="1379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3815" w:type="dxa"/>
            <w:gridSpan w:val="2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Wszystkie frakcje dozwolone</w:t>
            </w:r>
          </w:p>
        </w:tc>
        <w:tc>
          <w:tcPr>
            <w:tcW w:w="1589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</w:tr>
      <w:tr w:rsidR="00A319B4" w:rsidRPr="00595591" w:rsidTr="00595591">
        <w:tc>
          <w:tcPr>
            <w:tcW w:w="1379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4.3.1</w:t>
            </w:r>
          </w:p>
        </w:tc>
        <w:tc>
          <w:tcPr>
            <w:tcW w:w="250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Uziarnienie wg PN-EN 933-1</w:t>
            </w:r>
          </w:p>
        </w:tc>
        <w:tc>
          <w:tcPr>
            <w:tcW w:w="1937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Gc85/15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</w:t>
            </w:r>
            <w:r w:rsidRPr="00595591">
              <w:rPr>
                <w:rFonts w:cs="Arial"/>
                <w:sz w:val="22"/>
                <w:vertAlign w:val="subscript"/>
              </w:rPr>
              <w:t>F</w:t>
            </w:r>
            <w:r w:rsidRPr="00595591">
              <w:rPr>
                <w:rFonts w:cs="Arial"/>
                <w:sz w:val="22"/>
              </w:rPr>
              <w:t xml:space="preserve"> 85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</w:t>
            </w:r>
            <w:r w:rsidRPr="00595591">
              <w:rPr>
                <w:rFonts w:cs="Arial"/>
                <w:sz w:val="22"/>
                <w:vertAlign w:val="subscript"/>
              </w:rPr>
              <w:t>A</w:t>
            </w:r>
            <w:r w:rsidRPr="00595591">
              <w:rPr>
                <w:rFonts w:cs="Arial"/>
                <w:sz w:val="22"/>
              </w:rPr>
              <w:t xml:space="preserve"> 85</w:t>
            </w:r>
          </w:p>
        </w:tc>
        <w:tc>
          <w:tcPr>
            <w:tcW w:w="1878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Gc80/20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</w:t>
            </w:r>
            <w:r w:rsidRPr="00595591">
              <w:rPr>
                <w:rFonts w:cs="Arial"/>
                <w:sz w:val="22"/>
                <w:vertAlign w:val="subscript"/>
              </w:rPr>
              <w:t>F</w:t>
            </w:r>
            <w:r w:rsidRPr="00595591">
              <w:rPr>
                <w:rFonts w:cs="Arial"/>
                <w:sz w:val="22"/>
              </w:rPr>
              <w:t xml:space="preserve"> 80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</w:t>
            </w:r>
            <w:r w:rsidRPr="00595591">
              <w:rPr>
                <w:rFonts w:cs="Arial"/>
                <w:sz w:val="22"/>
                <w:vertAlign w:val="subscript"/>
              </w:rPr>
              <w:t>A</w:t>
            </w:r>
            <w:r w:rsidRPr="00595591">
              <w:rPr>
                <w:rFonts w:cs="Arial"/>
                <w:sz w:val="22"/>
              </w:rPr>
              <w:t xml:space="preserve"> 75</w:t>
            </w:r>
          </w:p>
        </w:tc>
        <w:tc>
          <w:tcPr>
            <w:tcW w:w="1589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tabl.2</w:t>
            </w:r>
          </w:p>
        </w:tc>
      </w:tr>
      <w:tr w:rsidR="00A319B4" w:rsidRPr="00595591" w:rsidTr="00595591">
        <w:tc>
          <w:tcPr>
            <w:tcW w:w="1379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4.3.2</w:t>
            </w:r>
          </w:p>
        </w:tc>
        <w:tc>
          <w:tcPr>
            <w:tcW w:w="250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Ogólne granice i tolerancje  uziarnienia kruszywa grubego na sitach pośrednich wg. PN-EN 933-1</w:t>
            </w:r>
          </w:p>
        </w:tc>
        <w:tc>
          <w:tcPr>
            <w:tcW w:w="1937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C</w:t>
            </w:r>
            <w:r w:rsidRPr="00595591">
              <w:rPr>
                <w:rFonts w:cs="Arial"/>
                <w:sz w:val="22"/>
              </w:rPr>
              <w:t>NR</w:t>
            </w:r>
          </w:p>
        </w:tc>
        <w:tc>
          <w:tcPr>
            <w:tcW w:w="1878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C</w:t>
            </w:r>
            <w:r w:rsidRPr="00595591">
              <w:rPr>
                <w:rFonts w:cs="Arial"/>
                <w:sz w:val="22"/>
              </w:rPr>
              <w:t>20/15</w:t>
            </w:r>
          </w:p>
        </w:tc>
        <w:tc>
          <w:tcPr>
            <w:tcW w:w="1589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tabl.3</w:t>
            </w:r>
          </w:p>
        </w:tc>
      </w:tr>
      <w:tr w:rsidR="00A319B4" w:rsidRPr="00595591" w:rsidTr="00595591">
        <w:tc>
          <w:tcPr>
            <w:tcW w:w="1379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4.3.3</w:t>
            </w:r>
          </w:p>
        </w:tc>
        <w:tc>
          <w:tcPr>
            <w:tcW w:w="250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Tolerancje typowego uziarnienia kruszywa drobnego i kruszywa o ciągłym uziarnieniu wg. PN-EN 933-1</w:t>
            </w:r>
          </w:p>
        </w:tc>
        <w:tc>
          <w:tcPr>
            <w:tcW w:w="193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F</w:t>
            </w:r>
            <w:r w:rsidRPr="00595591">
              <w:rPr>
                <w:rFonts w:cs="Arial"/>
                <w:sz w:val="22"/>
              </w:rPr>
              <w:t>NR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A</w:t>
            </w:r>
            <w:r w:rsidRPr="00595591">
              <w:rPr>
                <w:rFonts w:cs="Arial"/>
                <w:sz w:val="22"/>
              </w:rPr>
              <w:t>NR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F</w:t>
            </w:r>
            <w:r w:rsidRPr="00595591">
              <w:rPr>
                <w:rFonts w:cs="Arial"/>
                <w:sz w:val="22"/>
              </w:rPr>
              <w:t>10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GT</w:t>
            </w:r>
            <w:r w:rsidRPr="00595591">
              <w:rPr>
                <w:rFonts w:cs="Arial"/>
                <w:sz w:val="22"/>
                <w:vertAlign w:val="subscript"/>
              </w:rPr>
              <w:t>A</w:t>
            </w:r>
            <w:r w:rsidRPr="00595591">
              <w:rPr>
                <w:rFonts w:cs="Arial"/>
                <w:sz w:val="22"/>
              </w:rPr>
              <w:t>20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tabl.4</w:t>
            </w:r>
          </w:p>
        </w:tc>
      </w:tr>
      <w:tr w:rsidR="00A319B4" w:rsidRPr="00595591" w:rsidTr="00595591">
        <w:trPr>
          <w:trHeight w:val="120"/>
        </w:trPr>
        <w:tc>
          <w:tcPr>
            <w:tcW w:w="1379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4.4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Kształt kruszywa grubego wg PN-EN 933-1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a) maksymalne wartości wskaźnika płaskości     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FI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FI</w:t>
            </w:r>
            <w:r w:rsidRPr="00595591">
              <w:rPr>
                <w:rFonts w:cs="Arial"/>
                <w:sz w:val="22"/>
                <w:vertAlign w:val="subscript"/>
              </w:rPr>
              <w:t>50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tabl.5</w:t>
            </w:r>
          </w:p>
        </w:tc>
      </w:tr>
      <w:tr w:rsidR="00A319B4" w:rsidRPr="00595591" w:rsidTr="00595591">
        <w:trPr>
          <w:trHeight w:val="118"/>
        </w:trPr>
        <w:tc>
          <w:tcPr>
            <w:tcW w:w="1379" w:type="dxa"/>
            <w:vMerge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lub b) maksymalne wartości  wskaźnika kształtu 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SI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SI</w:t>
            </w:r>
            <w:r w:rsidRPr="00595591">
              <w:rPr>
                <w:rFonts w:cs="Arial"/>
                <w:sz w:val="22"/>
                <w:vertAlign w:val="subscript"/>
              </w:rPr>
              <w:t>55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tabl.6</w:t>
            </w:r>
          </w:p>
        </w:tc>
      </w:tr>
      <w:tr w:rsidR="00A319B4" w:rsidRPr="00595591" w:rsidTr="00595591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4.5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3C6850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Kategorie procentowych zawartości ziaren o powierzchni przekruszonej lub łamanych oraz ziaren całkowicie  zaokrąglonych w kru-  szywie grubym wg PN-EN933-5  </w:t>
            </w:r>
          </w:p>
          <w:p w:rsidR="00A319B4" w:rsidRPr="00595591" w:rsidRDefault="00A319B4" w:rsidP="003C6850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- 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C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C</w:t>
            </w:r>
            <w:r w:rsidRPr="00595591">
              <w:rPr>
                <w:rFonts w:cs="Arial"/>
                <w:sz w:val="22"/>
                <w:vertAlign w:val="subscript"/>
              </w:rPr>
              <w:t>90/3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tabl.7</w:t>
            </w:r>
          </w:p>
        </w:tc>
      </w:tr>
      <w:tr w:rsidR="00A319B4" w:rsidRPr="00595591" w:rsidTr="00595591">
        <w:trPr>
          <w:trHeight w:val="103"/>
        </w:trPr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4.6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Zawartość pyłów wg PN-EN 933-1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a) w kruszywie grubym*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f</w:t>
            </w:r>
            <w:r w:rsidRPr="00595591">
              <w:rPr>
                <w:rFonts w:cs="Arial"/>
                <w:sz w:val="22"/>
                <w:vertAlign w:val="subscript"/>
              </w:rPr>
              <w:t>Deklarowana</w:t>
            </w:r>
          </w:p>
          <w:p w:rsidR="00A319B4" w:rsidRPr="00595591" w:rsidRDefault="00A319B4" w:rsidP="00595591">
            <w:pPr>
              <w:jc w:val="center"/>
              <w:rPr>
                <w:rFonts w:ascii="Symbol" w:hAnsi="Symbol" w:cs="Arial"/>
                <w:sz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f</w:t>
            </w:r>
            <w:r w:rsidRPr="00595591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tab.8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50"/>
        </w:trPr>
        <w:tc>
          <w:tcPr>
            <w:tcW w:w="1379" w:type="dxa"/>
            <w:vMerge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b) w kruszywie drobnym*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f</w:t>
            </w:r>
            <w:r w:rsidRPr="00595591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f</w:t>
            </w:r>
            <w:r w:rsidRPr="00595591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tabl.8</w:t>
            </w:r>
          </w:p>
        </w:tc>
      </w:tr>
      <w:tr w:rsidR="00A319B4" w:rsidRPr="00595591" w:rsidTr="00595591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4.7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Jakość pyłów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Właściwość niebadana na pojedynczych frakcjach, a tylko w mieszankach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18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Odporność na  rozdrabnianie wg PN-EN 1097-2, kategoria nie wyższa niż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LA</w:t>
            </w:r>
            <w:r w:rsidRPr="00595591">
              <w:rPr>
                <w:rFonts w:cs="Arial"/>
                <w:sz w:val="22"/>
                <w:vertAlign w:val="subscript"/>
              </w:rPr>
              <w:t>50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LA</w:t>
            </w:r>
            <w:r w:rsidRPr="00595591">
              <w:rPr>
                <w:rFonts w:cs="Arial"/>
                <w:sz w:val="22"/>
                <w:vertAlign w:val="subscript"/>
              </w:rPr>
              <w:t>40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tabl.9</w:t>
            </w:r>
          </w:p>
        </w:tc>
      </w:tr>
      <w:tr w:rsidR="00A319B4" w:rsidRPr="00595591" w:rsidTr="00595591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Odporność na ścieranie kruszywa grubego wg PN-EN 1097-1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</w:t>
            </w:r>
            <w:r w:rsidRPr="00595591">
              <w:rPr>
                <w:rFonts w:cs="Arial"/>
                <w:sz w:val="22"/>
                <w:vertAlign w:val="subscript"/>
              </w:rPr>
              <w:t>DE</w:t>
            </w:r>
            <w:r w:rsidRPr="00595591">
              <w:rPr>
                <w:rFonts w:cs="Arial"/>
                <w:sz w:val="22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</w:t>
            </w:r>
            <w:r w:rsidRPr="00595591">
              <w:rPr>
                <w:rFonts w:cs="Arial"/>
                <w:sz w:val="22"/>
                <w:vertAlign w:val="subscript"/>
              </w:rPr>
              <w:t>DE</w:t>
            </w:r>
            <w:r w:rsidRPr="00595591">
              <w:rPr>
                <w:rFonts w:cs="Arial"/>
                <w:sz w:val="22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tabl.11</w:t>
            </w:r>
          </w:p>
        </w:tc>
      </w:tr>
      <w:tr w:rsidR="00A319B4" w:rsidRPr="00595591" w:rsidTr="00595591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Gęstość wg PN-EN 1097-6:2001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18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5.5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Nasiąkliwość wg PN-EN1097-6:2001, rozdział 7, 8 albo 9  (w zależności od frakcji)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</w:t>
            </w:r>
            <w:r w:rsidRPr="00595591">
              <w:rPr>
                <w:rFonts w:cs="Arial"/>
                <w:sz w:val="22"/>
                <w:vertAlign w:val="subscript"/>
              </w:rPr>
              <w:t>cm</w:t>
            </w:r>
            <w:r w:rsidRPr="00595591">
              <w:rPr>
                <w:rFonts w:cs="Arial"/>
                <w:sz w:val="22"/>
              </w:rPr>
              <w:t>NR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perscript"/>
              </w:rPr>
            </w:pPr>
            <w:r w:rsidRPr="00595591">
              <w:rPr>
                <w:rFonts w:cs="Arial"/>
                <w:sz w:val="22"/>
              </w:rPr>
              <w:t>WA</w:t>
            </w:r>
            <w:r w:rsidRPr="00595591">
              <w:rPr>
                <w:rFonts w:cs="Arial"/>
                <w:sz w:val="22"/>
                <w:vertAlign w:val="subscript"/>
              </w:rPr>
              <w:t>24</w:t>
            </w:r>
            <w:r w:rsidRPr="00595591">
              <w:rPr>
                <w:rFonts w:cs="Arial"/>
                <w:sz w:val="22"/>
              </w:rPr>
              <w:t>2**</w:t>
            </w:r>
            <w:r w:rsidRPr="00595591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</w:t>
            </w:r>
            <w:r w:rsidRPr="00595591">
              <w:rPr>
                <w:rFonts w:cs="Arial"/>
                <w:sz w:val="22"/>
                <w:vertAlign w:val="subscript"/>
              </w:rPr>
              <w:t>cm</w:t>
            </w:r>
            <w:r w:rsidRPr="00595591">
              <w:rPr>
                <w:rFonts w:cs="Arial"/>
                <w:sz w:val="22"/>
              </w:rPr>
              <w:t>NR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WA</w:t>
            </w:r>
            <w:r w:rsidRPr="00595591">
              <w:rPr>
                <w:rFonts w:cs="Arial"/>
                <w:sz w:val="22"/>
                <w:vertAlign w:val="subscript"/>
              </w:rPr>
              <w:t>24</w:t>
            </w:r>
            <w:r w:rsidRPr="00595591">
              <w:rPr>
                <w:rFonts w:cs="Arial"/>
                <w:sz w:val="22"/>
              </w:rPr>
              <w:t>2**</w:t>
            </w:r>
            <w:r w:rsidRPr="00595591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Siarczany rozpuszczalne w kwasie wg PN-EN 1744-1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AS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AS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tabl.12</w:t>
            </w:r>
          </w:p>
        </w:tc>
      </w:tr>
      <w:tr w:rsidR="00A319B4" w:rsidRPr="00595591" w:rsidTr="00595591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Całkowita zawartość siarki 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wg PN-EN 1744-1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S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S</w:t>
            </w:r>
            <w:r w:rsidRPr="00595591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tabl.13</w:t>
            </w:r>
          </w:p>
        </w:tc>
      </w:tr>
      <w:tr w:rsidR="00A319B4" w:rsidRPr="00595591" w:rsidTr="00595591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6.4.2.1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Stałość objętości żużla stalowniczego wg. PN-EN  1744-1:1998, rozdział 19.3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V</w:t>
            </w:r>
            <w:r w:rsidRPr="00595591">
              <w:rPr>
                <w:rFonts w:cs="Arial"/>
                <w:sz w:val="22"/>
                <w:vertAlign w:val="subscript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V</w:t>
            </w:r>
            <w:r w:rsidRPr="00595591">
              <w:rPr>
                <w:rFonts w:cs="Arial"/>
                <w:sz w:val="22"/>
                <w:vertAlign w:val="subscript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tabl.14</w:t>
            </w:r>
          </w:p>
        </w:tc>
      </w:tr>
      <w:tr w:rsidR="00A319B4" w:rsidRPr="00595591" w:rsidTr="00595591">
        <w:trPr>
          <w:trHeight w:val="7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6.4.2.2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Rozpad krzemianowy w żużlu wielkopiecowym kawałkowym wg PN-EN 1744-1:1998, p.19.1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Brak rozpadu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B02251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Brak rozpadu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6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6.4.2.3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Rozpad żelazawy w żużlu wielkopiecowym kawałkowym wg PN-EN 1744-1:1998, p.19.2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Brak rozpadu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Brak rozpadu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9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6.4.3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Składniki rozpuszczalne w wodzie wg. PN-EN 1744-3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Brak substancji szkodliwych w stosunku do środowiska wg odrębnych przepisów</w:t>
            </w:r>
          </w:p>
        </w:tc>
      </w:tr>
      <w:tr w:rsidR="00A319B4" w:rsidRPr="00595591" w:rsidTr="00595591">
        <w:trPr>
          <w:trHeight w:val="16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6.4.4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Zanieczyszczenia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Brak żadnych ciał obcych takich jak drewno, szkło i plastik, mogących pogorszyć wyrób końcowy </w:t>
            </w:r>
          </w:p>
        </w:tc>
      </w:tr>
      <w:tr w:rsidR="00A319B4" w:rsidRPr="00595591" w:rsidTr="00595591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7.2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Zgorzel słoneczna bazaltu wg PN-EN 1367-3, wg PN-EN 1097-2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SB</w:t>
            </w:r>
            <w:r w:rsidRPr="00595591">
              <w:rPr>
                <w:rFonts w:cs="Arial"/>
                <w:sz w:val="22"/>
                <w:vertAlign w:val="subscript"/>
              </w:rPr>
              <w:t>LA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SB</w:t>
            </w:r>
            <w:r w:rsidRPr="00595591">
              <w:rPr>
                <w:rFonts w:cs="Arial"/>
                <w:sz w:val="22"/>
                <w:vertAlign w:val="subscript"/>
              </w:rPr>
              <w:t>LA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7.3.3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Mrozoodporność na frakcji kruszywa 8/16 wg PN-EN 1367-1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- skały magmowe i przeobrażone: F</w:t>
            </w:r>
            <w:r w:rsidRPr="00595591">
              <w:rPr>
                <w:rFonts w:cs="Arial"/>
                <w:sz w:val="22"/>
                <w:vertAlign w:val="subscript"/>
              </w:rPr>
              <w:t>4</w:t>
            </w:r>
          </w:p>
          <w:p w:rsidR="00A319B4" w:rsidRPr="00595591" w:rsidRDefault="00A319B4" w:rsidP="00F37C5F">
            <w:pPr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- skały osadowe: F</w:t>
            </w:r>
            <w:r w:rsidRPr="00595591">
              <w:rPr>
                <w:rFonts w:cs="Arial"/>
                <w:sz w:val="22"/>
                <w:vertAlign w:val="subscript"/>
              </w:rPr>
              <w:t>10</w:t>
            </w:r>
          </w:p>
          <w:p w:rsidR="00A319B4" w:rsidRPr="00595591" w:rsidRDefault="00A319B4" w:rsidP="00F37C5F">
            <w:pPr>
              <w:rPr>
                <w:rFonts w:cs="Arial"/>
                <w:sz w:val="22"/>
                <w:vertAlign w:val="subscript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6D1A1C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- skały magmowe i przeobrażone: F</w:t>
            </w:r>
            <w:r w:rsidRPr="00595591">
              <w:rPr>
                <w:rFonts w:cs="Arial"/>
                <w:sz w:val="22"/>
                <w:vertAlign w:val="subscript"/>
              </w:rPr>
              <w:t>4</w:t>
            </w:r>
          </w:p>
          <w:p w:rsidR="00A319B4" w:rsidRPr="00595591" w:rsidRDefault="00A319B4" w:rsidP="006D1A1C">
            <w:pPr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- skały osadowe: F</w:t>
            </w:r>
            <w:r w:rsidRPr="00595591">
              <w:rPr>
                <w:rFonts w:cs="Arial"/>
                <w:sz w:val="22"/>
                <w:vertAlign w:val="subscript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tabl.18</w:t>
            </w:r>
          </w:p>
        </w:tc>
      </w:tr>
      <w:tr w:rsidR="00A319B4" w:rsidRPr="00595591" w:rsidTr="00595591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Załącznik C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Skład materiałowy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deklarowany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deklarowany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</w:tr>
      <w:tr w:rsidR="00A319B4" w:rsidRPr="00595591" w:rsidTr="00595591">
        <w:trPr>
          <w:trHeight w:val="1141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Załącznik C podrozdział C.3.4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Istotne cechy środowiskowe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19B4" w:rsidRPr="00595591" w:rsidRDefault="00A319B4" w:rsidP="00FD4B46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Większość substancji niebezpiecznych określonych w dyrektywie Rady 76/769/EWG zazwyczaj nie występuje w źródłach kruszywa  pochodzenia mineralnego. </w:t>
            </w:r>
          </w:p>
        </w:tc>
      </w:tr>
    </w:tbl>
    <w:p w:rsidR="00A319B4" w:rsidRPr="00F37C5F" w:rsidRDefault="00A319B4" w:rsidP="00B75C90">
      <w:pPr>
        <w:rPr>
          <w:rFonts w:cs="Arial"/>
          <w:sz w:val="22"/>
        </w:rPr>
      </w:pPr>
      <w:r w:rsidRPr="00B64FBF"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*</w:t>
      </w:r>
      <w:r>
        <w:rPr>
          <w:rFonts w:cs="Arial"/>
          <w:sz w:val="22"/>
        </w:rPr>
        <w:t xml:space="preserve"> Łączna zawartość pyłów w mieszance powinna mieścić się w wybranych krzywych granicznych </w:t>
      </w:r>
      <w:r w:rsidRPr="00F37C5F">
        <w:rPr>
          <w:rFonts w:cs="Arial"/>
          <w:sz w:val="22"/>
        </w:rPr>
        <w:t xml:space="preserve">                                                                                          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**) w przypadku gdy wymaganie nie jest spełnione, należy sprawdzić mrozoodporność.  </w:t>
      </w:r>
    </w:p>
    <w:p w:rsidR="00A319B4" w:rsidRPr="00393AD7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 Uziarnienie kruszywa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Krzywa uziarnienia kruszywa, określona według WT-4 powinna leżeć mi</w:t>
      </w:r>
      <w:r>
        <w:rPr>
          <w:rFonts w:cs="Arial"/>
          <w:sz w:val="22"/>
        </w:rPr>
        <w:t xml:space="preserve">ędzy krzywymi granicznymi pól </w:t>
      </w:r>
      <w:r w:rsidRPr="00F37C5F">
        <w:rPr>
          <w:rFonts w:cs="Arial"/>
          <w:sz w:val="22"/>
        </w:rPr>
        <w:t>dobrego uziarn</w:t>
      </w:r>
      <w:r>
        <w:rPr>
          <w:rFonts w:cs="Arial"/>
          <w:sz w:val="22"/>
        </w:rPr>
        <w:t>ienia.</w:t>
      </w: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4pt;height:189.75pt;visibility:visible">
            <v:imagedata r:id="rId6" o:title=""/>
          </v:shape>
        </w:pic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Rysunek 1. Mieszanka niezwiązana 0/31,5 dla podbudowy pomocniczej</w:t>
      </w:r>
      <w:r w:rsidRPr="00F37C5F"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 id="Obraz 2" o:spid="_x0000_i1026" type="#_x0000_t75" style="width:444pt;height:189.75pt;visibility:visible">
            <v:imagedata r:id="rId6" o:title=""/>
          </v:shape>
        </w:pic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Rysunek 2.  Mieszanka niezwiązana 0/45 dla podbudowy pomocniczej</w: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 id="Obraz 3" o:spid="_x0000_i1027" type="#_x0000_t75" style="width:443.25pt;height:197.25pt;visibility:visible">
            <v:imagedata r:id="rId7" o:title=""/>
          </v:shape>
        </w:pic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Rysunek 3. Mieszanka niezwiązana 0/63 dla podbudowy pomocniczej</w:t>
      </w: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 id="Obraz 4" o:spid="_x0000_i1028" type="#_x0000_t75" style="width:451.5pt;height:213pt;visibility:visible">
            <v:imagedata r:id="rId8" o:title=""/>
          </v:shape>
        </w:pic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Rysunek 4. Mieszanka niezwiązana 0/31,5 dla podbudowy zasadniczej</w: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 id="Obraz 5" o:spid="_x0000_i1029" type="#_x0000_t75" style="width:446.25pt;height:223.5pt;visibility:visible">
            <v:imagedata r:id="rId9" o:title=""/>
          </v:shape>
        </w:pic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Rysunek 5. Mieszanka niezwiązana 0/45 dla podbudowy zasadniczej</w: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595591">
        <w:rPr>
          <w:rFonts w:cs="Arial"/>
          <w:noProof/>
          <w:sz w:val="22"/>
          <w:lang w:eastAsia="pl-PL"/>
        </w:rPr>
        <w:pict>
          <v:shape id="Obraz 6" o:spid="_x0000_i1030" type="#_x0000_t75" style="width:449.25pt;height:206.25pt;visibility:visible">
            <v:imagedata r:id="rId10" o:title=""/>
          </v:shape>
        </w:pic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Rysunek 6. Mieszanka niezwiązana 0/63 dla podbudowy zasadniczej</w:t>
      </w:r>
    </w:p>
    <w:p w:rsidR="00A319B4" w:rsidRDefault="00A319B4" w:rsidP="00F37C5F">
      <w:pPr>
        <w:rPr>
          <w:rFonts w:cs="Arial"/>
          <w:sz w:val="22"/>
        </w:rPr>
      </w:pP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Krzywa uziarnienia kruszywa powinna być ciągła i nie może przebiegać</w:t>
      </w:r>
      <w:r>
        <w:rPr>
          <w:rFonts w:cs="Arial"/>
          <w:sz w:val="22"/>
        </w:rPr>
        <w:t xml:space="preserve"> od dolnej krzywej granicznej </w:t>
      </w:r>
      <w:r w:rsidRPr="00F37C5F">
        <w:rPr>
          <w:rFonts w:cs="Arial"/>
          <w:sz w:val="22"/>
        </w:rPr>
        <w:t>uziarnienia do górnej krzywej granicznej uziarnienia na sąsiednich sitac</w:t>
      </w:r>
      <w:r>
        <w:rPr>
          <w:rFonts w:cs="Arial"/>
          <w:sz w:val="22"/>
        </w:rPr>
        <w:t xml:space="preserve">h. Wymiar największego ziarna </w:t>
      </w:r>
      <w:r w:rsidRPr="00F37C5F">
        <w:rPr>
          <w:rFonts w:cs="Arial"/>
          <w:sz w:val="22"/>
        </w:rPr>
        <w:t>kruszywa nie może przekraczać 2/3 grubości warstwy układanej jednorazowo.  Pole dobrego uziarnienia kruszyw przeznaczonych na podbudowy wyko</w:t>
      </w:r>
      <w:r>
        <w:rPr>
          <w:rFonts w:cs="Arial"/>
          <w:sz w:val="22"/>
        </w:rPr>
        <w:t>nywane metodą stabilizacji me</w:t>
      </w:r>
      <w:r w:rsidRPr="00F37C5F">
        <w:rPr>
          <w:rFonts w:cs="Arial"/>
          <w:sz w:val="22"/>
        </w:rPr>
        <w:t>chanicznej powinno zawierać się między krzywymi</w:t>
      </w:r>
      <w:r>
        <w:rPr>
          <w:rFonts w:cs="Arial"/>
          <w:sz w:val="22"/>
        </w:rPr>
        <w:t xml:space="preserve"> granicznymi</w:t>
      </w:r>
      <w:r w:rsidRPr="00F37C5F">
        <w:rPr>
          <w:rFonts w:cs="Arial"/>
          <w:sz w:val="22"/>
        </w:rPr>
        <w:t xml:space="preserve">.  </w:t>
      </w:r>
    </w:p>
    <w:p w:rsidR="00A319B4" w:rsidRPr="007B5196" w:rsidRDefault="00A319B4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2.3.2. Woda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Należy stosować wodę wg PN-EN-1008  </w: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Pr="007B5196" w:rsidRDefault="00A319B4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3. SPRZĘT  </w:t>
      </w:r>
    </w:p>
    <w:p w:rsidR="00A319B4" w:rsidRPr="007B5196" w:rsidRDefault="00A319B4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3.1. Ogólne wymagania dotyczące sprzętu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sprzętu podano w ST D-M-U-00.00.00 „Wymagania ogólne” pkt 3.  </w:t>
      </w:r>
    </w:p>
    <w:p w:rsidR="00A319B4" w:rsidRPr="007B5196" w:rsidRDefault="00A319B4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>3</w:t>
      </w:r>
      <w:r>
        <w:rPr>
          <w:rFonts w:cs="Arial"/>
          <w:b/>
          <w:sz w:val="22"/>
        </w:rPr>
        <w:t xml:space="preserve">.2. Sprzęt do wykonania robót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Wykonawca przystępujący do wykonania podbudowy z kruszyw stabilizowany</w:t>
      </w:r>
      <w:r>
        <w:rPr>
          <w:rFonts w:cs="Arial"/>
          <w:sz w:val="22"/>
        </w:rPr>
        <w:t>ch mechanicznie powinien wyka</w:t>
      </w:r>
      <w:r w:rsidRPr="00F37C5F">
        <w:rPr>
          <w:rFonts w:cs="Arial"/>
          <w:sz w:val="22"/>
        </w:rPr>
        <w:t>zać się możliwością korzyst</w:t>
      </w:r>
      <w:r>
        <w:rPr>
          <w:rFonts w:cs="Arial"/>
          <w:sz w:val="22"/>
        </w:rPr>
        <w:t xml:space="preserve">ania z następującego sprzętu: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a)  równiarek albo układa</w:t>
      </w:r>
      <w:r>
        <w:rPr>
          <w:rFonts w:cs="Arial"/>
          <w:sz w:val="22"/>
        </w:rPr>
        <w:t xml:space="preserve">rek do rozkładania mieszanki,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b)  walców ogumionych i stalowych wibracyjnych do zagęszczania. W miejscach trudno dostępnych powinny  być stosowane zagęszczarki płytowe, ubijaki mechanicz</w:t>
      </w:r>
      <w:r>
        <w:rPr>
          <w:rFonts w:cs="Arial"/>
          <w:sz w:val="22"/>
        </w:rPr>
        <w:t xml:space="preserve">ne lub małe walce wibracyjne.  </w: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7B5196">
        <w:rPr>
          <w:rFonts w:cs="Arial"/>
          <w:b/>
          <w:sz w:val="22"/>
        </w:rPr>
        <w:t>3.3.</w:t>
      </w:r>
      <w:r w:rsidRPr="00F37C5F">
        <w:rPr>
          <w:rFonts w:cs="Arial"/>
          <w:sz w:val="22"/>
        </w:rPr>
        <w:t xml:space="preserve"> Rozścielenie kruszywa  dla warstwy podbudowy wykonywane będzie równiarką lub układarką  kruszywa.  Zastosowany  sprzęt  mechaniczny  do  rozścielenia  materiału  powinien  być  sp</w:t>
      </w:r>
      <w:r>
        <w:rPr>
          <w:rFonts w:cs="Arial"/>
          <w:sz w:val="22"/>
        </w:rPr>
        <w:t xml:space="preserve">rawny  technicznie  i  zyskać akceptację Inspektora Nadzoru </w: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7B5196">
        <w:rPr>
          <w:rFonts w:cs="Arial"/>
          <w:b/>
          <w:sz w:val="22"/>
        </w:rPr>
        <w:t>3.4</w:t>
      </w:r>
      <w:r w:rsidRPr="00F37C5F">
        <w:rPr>
          <w:rFonts w:cs="Arial"/>
          <w:sz w:val="22"/>
        </w:rPr>
        <w:t>. Zagęszczenie      podbudowy       z   kruszywa     łamanego      wykonane      będzie    wa</w:t>
      </w:r>
      <w:r>
        <w:rPr>
          <w:rFonts w:cs="Arial"/>
          <w:sz w:val="22"/>
        </w:rPr>
        <w:t xml:space="preserve">lcem     gładkim    stalowym, </w:t>
      </w:r>
      <w:r w:rsidRPr="00F37C5F">
        <w:rPr>
          <w:rFonts w:cs="Arial"/>
          <w:sz w:val="22"/>
        </w:rPr>
        <w:t xml:space="preserve">wibracyjnym, dwuwałowym, ciężkim. Stosowane walce muszą być wyposażone w:   - wskaźniki amplitudy i częstotliwości drgań oraz siły wymuszającej (dla walców </w:t>
      </w:r>
      <w:r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wibracyjnych),    - balast umożliwiający zmianę obciążenia jeśli to było przewidziane przez producenta sprzętu.  </w:t>
      </w:r>
    </w:p>
    <w:p w:rsidR="00A319B4" w:rsidRPr="00F37C5F" w:rsidRDefault="00A319B4" w:rsidP="00695F8E">
      <w:pPr>
        <w:rPr>
          <w:rFonts w:cs="Arial"/>
          <w:sz w:val="22"/>
        </w:rPr>
      </w:pPr>
      <w:r w:rsidRPr="005D0964">
        <w:rPr>
          <w:rFonts w:cs="Arial"/>
          <w:b/>
          <w:sz w:val="22"/>
        </w:rPr>
        <w:t>3.5</w:t>
      </w:r>
      <w:r w:rsidRPr="00F37C5F">
        <w:rPr>
          <w:rFonts w:cs="Arial"/>
          <w:sz w:val="22"/>
        </w:rPr>
        <w:t xml:space="preserve">. Profilowanie powinno być wykonywane ciężkim szablonem lub równiarką   </w:t>
      </w:r>
    </w:p>
    <w:p w:rsidR="00A319B4" w:rsidRPr="005D0964" w:rsidRDefault="00A319B4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 xml:space="preserve">4. TRANSPORT  </w:t>
      </w:r>
    </w:p>
    <w:p w:rsidR="00A319B4" w:rsidRPr="005D0964" w:rsidRDefault="00A319B4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>4.1. Ogólne w</w:t>
      </w:r>
      <w:r>
        <w:rPr>
          <w:rFonts w:cs="Arial"/>
          <w:b/>
          <w:sz w:val="22"/>
        </w:rPr>
        <w:t xml:space="preserve">ymagania dotyczące transportu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transportu podano w ST D-M-U-00.00.00 „Wymagania ogólne” pkt 4.  </w:t>
      </w:r>
    </w:p>
    <w:p w:rsidR="00A319B4" w:rsidRPr="005D0964" w:rsidRDefault="00A319B4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 xml:space="preserve">4.2. Transport materiałów  </w:t>
      </w:r>
    </w:p>
    <w:p w:rsidR="00A319B4" w:rsidRPr="00F37C5F" w:rsidRDefault="00A319B4" w:rsidP="00D14E99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Transport kruszywa musi odbywać się w sposób przeciwdziałający jego zanieczyszczeniu i rozsegregowaniu.  </w:t>
      </w:r>
      <w:r>
        <w:rPr>
          <w:rFonts w:cs="Arial"/>
          <w:sz w:val="22"/>
        </w:rPr>
        <w:t>Woda będzie transportowana przewoźnymi zbiornikami wody.</w:t>
      </w:r>
      <w:r w:rsidRPr="00F37C5F">
        <w:rPr>
          <w:rFonts w:cs="Arial"/>
          <w:sz w:val="22"/>
        </w:rPr>
        <w:t xml:space="preserve">Ruch  pojazdów  po  wyprofilowanym  podłożu  drogi  musi  być  tak  zorganizowany,  aby  nie  dopuścić  do  jego  uszkodzeń i tworzenia kolein. Wskazany jest transport samowyładowczy (samochody, ciągniki z przyczepami).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Przy ruchu po drogach publicznych pojazdy muszą spełniać wymagania dotycz</w:t>
      </w:r>
      <w:r>
        <w:rPr>
          <w:rFonts w:cs="Arial"/>
          <w:sz w:val="22"/>
        </w:rPr>
        <w:t xml:space="preserve">ące przepisów ruchu drogowego </w:t>
      </w:r>
      <w:r w:rsidRPr="00F37C5F">
        <w:rPr>
          <w:rFonts w:cs="Arial"/>
          <w:sz w:val="22"/>
        </w:rPr>
        <w:t xml:space="preserve">w odniesieniu do dopuszczalnych obciążeń na osie i innych parametrów technicznych.  </w:t>
      </w:r>
    </w:p>
    <w:p w:rsidR="00A319B4" w:rsidRDefault="00A319B4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 WYKONANIE ROBÓT  </w:t>
      </w:r>
    </w:p>
    <w:p w:rsidR="00A319B4" w:rsidRPr="00D14E99" w:rsidRDefault="00A319B4" w:rsidP="00F37C5F">
      <w:pPr>
        <w:rPr>
          <w:rFonts w:cs="Arial"/>
          <w:b/>
          <w:sz w:val="22"/>
        </w:rPr>
      </w:pPr>
    </w:p>
    <w:p w:rsidR="00A319B4" w:rsidRPr="00D14E99" w:rsidRDefault="00A319B4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5.1. Ogólne wymagania dotyczące robót.  </w:t>
      </w:r>
      <w:r w:rsidRPr="00F37C5F">
        <w:rPr>
          <w:rFonts w:cs="Arial"/>
          <w:sz w:val="22"/>
        </w:rPr>
        <w:t xml:space="preserve">Ogólne wymagania dotyczące robót podano w ST D.00.00.00.  </w:t>
      </w:r>
    </w:p>
    <w:p w:rsidR="00A319B4" w:rsidRPr="00F37C5F" w:rsidRDefault="00A319B4" w:rsidP="009C36A9">
      <w:pPr>
        <w:rPr>
          <w:rFonts w:cs="Arial"/>
          <w:sz w:val="22"/>
        </w:rPr>
      </w:pPr>
      <w:r w:rsidRPr="00D14E99">
        <w:rPr>
          <w:rFonts w:cs="Arial"/>
          <w:b/>
          <w:sz w:val="22"/>
        </w:rPr>
        <w:t xml:space="preserve">  5.2. Zakres wykonywanych robót.  </w:t>
      </w:r>
    </w:p>
    <w:p w:rsidR="00A319B4" w:rsidRPr="00D14E99" w:rsidRDefault="00A319B4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5.2.1. Przygotowanie podłoża.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Przed wykonaniem podbudowy z kruszywa należy niżej wykonaną warstwę ocz</w:t>
      </w:r>
      <w:r>
        <w:rPr>
          <w:rFonts w:cs="Arial"/>
          <w:sz w:val="22"/>
        </w:rPr>
        <w:t xml:space="preserve">yścić zgodnie ze Szczegółową Specyfikacją </w:t>
      </w:r>
      <w:r w:rsidRPr="00F37C5F">
        <w:rPr>
          <w:rFonts w:cs="Arial"/>
          <w:sz w:val="22"/>
        </w:rPr>
        <w:t xml:space="preserve">Techniczną D.04.03.01. „Oczyszczenie i skropienie warstw konstrukcyjnych”.  </w:t>
      </w:r>
    </w:p>
    <w:p w:rsidR="00A319B4" w:rsidRPr="00D14E99" w:rsidRDefault="00A319B4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5.2.2. Dowóz zakupionego kruszywa na miejsce wbudowania.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Kruszywo  przeznaczone  na  podbudowę  powinno  odpowiadać  wymaganiom  </w:t>
      </w:r>
      <w:r>
        <w:rPr>
          <w:rFonts w:cs="Arial"/>
          <w:sz w:val="22"/>
        </w:rPr>
        <w:t xml:space="preserve">normy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PN-EN 13242 i WT-4 2010. Źródło </w:t>
      </w:r>
      <w:r w:rsidRPr="00F37C5F">
        <w:rPr>
          <w:rFonts w:cs="Arial"/>
          <w:sz w:val="22"/>
        </w:rPr>
        <w:t>pozyskania  (zakupu)  materiałów  na  wykonanie  podbudowy  powinno  być  zaa</w:t>
      </w:r>
      <w:r>
        <w:rPr>
          <w:rFonts w:cs="Arial"/>
          <w:sz w:val="22"/>
        </w:rPr>
        <w:t xml:space="preserve">kceptowane  przez  Inspektora Nadzoru.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Dowóz na miejsce wbudowania odbędzie się transportem samowyładowczym.   </w:t>
      </w:r>
    </w:p>
    <w:p w:rsidR="00A319B4" w:rsidRPr="00D14E99" w:rsidRDefault="00A319B4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5.2.3. Rozścielenie warstwy kruszywa łamanego .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Rozścielenia materiału w warstwie podbudowy odbędzie się mechanicznie przy użyciu równiarki lub układarki  kruszywa.  Podbudowa  powinna  być  ułożona  na  podłożu  zapewniającym  nie  prze</w:t>
      </w:r>
      <w:r>
        <w:rPr>
          <w:rFonts w:cs="Arial"/>
          <w:sz w:val="22"/>
        </w:rPr>
        <w:t xml:space="preserve">nikanie  cząstek  podłoża  do warstw wyżej leżących.  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Mieszanka kruszywa powinna być rozkładana w warstwie o jednakowej grubośc</w:t>
      </w:r>
      <w:r>
        <w:rPr>
          <w:rFonts w:cs="Arial"/>
          <w:sz w:val="22"/>
        </w:rPr>
        <w:t xml:space="preserve">i, takiej, aby jej ostateczna </w:t>
      </w:r>
      <w:r w:rsidRPr="00F37C5F">
        <w:rPr>
          <w:rFonts w:cs="Arial"/>
          <w:sz w:val="22"/>
        </w:rPr>
        <w:t xml:space="preserve">grubość po zagęszczeniu była równa grubości projektowanej.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Warstwa podbudowy powinna być rozłożo</w:t>
      </w:r>
      <w:r>
        <w:rPr>
          <w:rFonts w:cs="Arial"/>
          <w:sz w:val="22"/>
        </w:rPr>
        <w:t>na w sposób zapewniający osią</w:t>
      </w:r>
      <w:r w:rsidRPr="00F37C5F">
        <w:rPr>
          <w:rFonts w:cs="Arial"/>
          <w:sz w:val="22"/>
        </w:rPr>
        <w:t xml:space="preserve">gnięcie wymaganych spadków i rzędnych wysokościowych. Jeżeli podbudowa składa się z więcej </w:t>
      </w:r>
      <w:r>
        <w:rPr>
          <w:rFonts w:cs="Arial"/>
          <w:sz w:val="22"/>
        </w:rPr>
        <w:t xml:space="preserve">niż jednej </w:t>
      </w:r>
      <w:r w:rsidRPr="00F37C5F">
        <w:rPr>
          <w:rFonts w:cs="Arial"/>
          <w:sz w:val="22"/>
        </w:rPr>
        <w:t>warstwy kruszywa, to każda warstwa powinna być wyprofilowana i zagęszc</w:t>
      </w:r>
      <w:r>
        <w:rPr>
          <w:rFonts w:cs="Arial"/>
          <w:sz w:val="22"/>
        </w:rPr>
        <w:t xml:space="preserve">zona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z zachowaniem wymaganych </w:t>
      </w:r>
      <w:r w:rsidRPr="00F37C5F">
        <w:rPr>
          <w:rFonts w:cs="Arial"/>
          <w:sz w:val="22"/>
        </w:rPr>
        <w:t>spadków i rzędnych wysokościowych. Rozpoczęcie budowy każdej następnej w</w:t>
      </w:r>
      <w:r>
        <w:rPr>
          <w:rFonts w:cs="Arial"/>
          <w:sz w:val="22"/>
        </w:rPr>
        <w:t>arstwy może nastąpić po odbio</w:t>
      </w:r>
      <w:r w:rsidRPr="00F37C5F">
        <w:rPr>
          <w:rFonts w:cs="Arial"/>
          <w:sz w:val="22"/>
        </w:rPr>
        <w:t>rze pop</w:t>
      </w:r>
      <w:r>
        <w:rPr>
          <w:rFonts w:cs="Arial"/>
          <w:sz w:val="22"/>
        </w:rPr>
        <w:t>rzedniej warstwy przez Inspektora Nazdoru</w:t>
      </w:r>
      <w:r w:rsidRPr="00F37C5F">
        <w:rPr>
          <w:rFonts w:cs="Arial"/>
          <w:sz w:val="22"/>
        </w:rPr>
        <w:t xml:space="preserve">.  </w:t>
      </w:r>
    </w:p>
    <w:p w:rsidR="00A319B4" w:rsidRPr="00017AC6" w:rsidRDefault="00A319B4" w:rsidP="00F37C5F">
      <w:pPr>
        <w:rPr>
          <w:rFonts w:cs="Arial"/>
          <w:b/>
          <w:sz w:val="22"/>
        </w:rPr>
      </w:pPr>
      <w:r w:rsidRPr="00017AC6">
        <w:rPr>
          <w:rFonts w:cs="Arial"/>
          <w:b/>
          <w:sz w:val="22"/>
        </w:rPr>
        <w:t xml:space="preserve">  5.2.4. Zagęszczenie rozścielonej warstwy podbudowy z kruszywa.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Zagęszczenie wykonane będzie walcem stalowym, gładkim, wibracyjnym, d</w:t>
      </w:r>
      <w:r>
        <w:rPr>
          <w:rFonts w:cs="Arial"/>
          <w:sz w:val="22"/>
        </w:rPr>
        <w:t xml:space="preserve">wuwałowym. Wałowanie </w:t>
      </w:r>
      <w:r w:rsidRPr="00F37C5F">
        <w:rPr>
          <w:rFonts w:cs="Arial"/>
          <w:sz w:val="22"/>
        </w:rPr>
        <w:t xml:space="preserve">należy wykonywać z polewaniem wodą. Wymagania odnośnie wałowania:  - zagęszczenie powinno odbywać się zgodnie z ustalonym schematem przejść walca w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zależności od </w:t>
      </w:r>
      <w:r w:rsidRPr="00F37C5F">
        <w:rPr>
          <w:rFonts w:cs="Arial"/>
          <w:sz w:val="22"/>
        </w:rPr>
        <w:t xml:space="preserve">grubości wałowanej warstwy,  - zagęszczanie należy prowadzić począwszy od krawędzi ku środkowi,   - najeżdżać na wałowaną warstwę kołem napędowym, w celu uniknięcia zjawiska fali przed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walcem, manewry </w:t>
      </w:r>
      <w:r w:rsidRPr="00F37C5F">
        <w:rPr>
          <w:rFonts w:cs="Arial"/>
          <w:sz w:val="22"/>
        </w:rPr>
        <w:t xml:space="preserve">walca należy przeprowadzać płynnie, na odcinku już zagęszczonym,  - prędkość przejazdu walca powinna być jednostajna w granicach 2-4 km/h na początku i 4-6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km/h w dalszej fazie wałowania,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- wałowanie na odcinku łuku poziomego o jednostronnej przechyłce poprzecznej, należy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rozpocząć od dolnej </w:t>
      </w:r>
      <w:r w:rsidRPr="00F37C5F">
        <w:rPr>
          <w:rFonts w:cs="Arial"/>
          <w:sz w:val="22"/>
        </w:rPr>
        <w:t xml:space="preserve">krawędzi ku górze,    - walce  wibracyjne  powinny  posiadać  zakres  częstotliwości  drgań  w  przedziale  33-35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Hz;  zagęszczenie podbudowy z kruszywa łamanego</w:t>
      </w:r>
      <w:r w:rsidRPr="00F37C5F">
        <w:rPr>
          <w:rFonts w:cs="Arial"/>
          <w:sz w:val="22"/>
        </w:rPr>
        <w:t xml:space="preserve"> rozścielanej ręcznie nastąpi przy użyciu płyty </w:t>
      </w:r>
      <w:r>
        <w:rPr>
          <w:rFonts w:cs="Arial"/>
          <w:sz w:val="22"/>
        </w:rPr>
        <w:t xml:space="preserve">wibracyjnej.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Wilgotność mieszanki kruszywa podczas zagęszczania powinna odpowiadać wilgo</w:t>
      </w:r>
      <w:r>
        <w:rPr>
          <w:rFonts w:cs="Arial"/>
          <w:sz w:val="22"/>
        </w:rPr>
        <w:t xml:space="preserve">tności optymalnej, określonej </w:t>
      </w:r>
      <w:r w:rsidRPr="00F37C5F">
        <w:rPr>
          <w:rFonts w:cs="Arial"/>
          <w:sz w:val="22"/>
        </w:rPr>
        <w:t xml:space="preserve"> według próby Proctora, zgodnie z PN-B-04481 [1] (metoda II). Materiał nad</w:t>
      </w:r>
      <w:r>
        <w:rPr>
          <w:rFonts w:cs="Arial"/>
          <w:sz w:val="22"/>
        </w:rPr>
        <w:t xml:space="preserve">miernie nawilgocony, powinien </w:t>
      </w:r>
      <w:r w:rsidRPr="00F37C5F">
        <w:rPr>
          <w:rFonts w:cs="Arial"/>
          <w:sz w:val="22"/>
        </w:rPr>
        <w:t>zostać osuszony przez mieszanie i napowietrzanie. Jeżeli wilgotność mieszanki kruszywa je</w:t>
      </w:r>
      <w:r>
        <w:rPr>
          <w:rFonts w:cs="Arial"/>
          <w:sz w:val="22"/>
        </w:rPr>
        <w:t>st niższa od opty</w:t>
      </w:r>
      <w:r w:rsidRPr="00F37C5F">
        <w:rPr>
          <w:rFonts w:cs="Arial"/>
          <w:sz w:val="22"/>
        </w:rPr>
        <w:t>malnej o 20% jej wartości, mieszanka powinna być zwilżona określoną ilością wody i równomiernie wymiesza-  na. W przypadku, gdy wilgotność mieszanki kruszywa jest wyższa od optymalne</w:t>
      </w:r>
      <w:r>
        <w:rPr>
          <w:rFonts w:cs="Arial"/>
          <w:sz w:val="22"/>
        </w:rPr>
        <w:t>j o 10% jej wartości, mieszan</w:t>
      </w:r>
      <w:r w:rsidRPr="00F37C5F">
        <w:rPr>
          <w:rFonts w:cs="Arial"/>
          <w:sz w:val="22"/>
        </w:rPr>
        <w:t xml:space="preserve">kę należy osuszyć.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Wymagany w</w:t>
      </w:r>
      <w:r w:rsidRPr="00F37C5F">
        <w:rPr>
          <w:rFonts w:cs="Arial"/>
          <w:sz w:val="22"/>
        </w:rPr>
        <w:t>skaźnik zagęszczenia podbudowy –</w:t>
      </w:r>
      <w:r>
        <w:rPr>
          <w:rFonts w:cs="Arial"/>
          <w:sz w:val="22"/>
        </w:rPr>
        <w:t xml:space="preserve"> Is</w:t>
      </w:r>
      <w:r>
        <w:rPr>
          <w:rFonts w:cs="Arial"/>
          <w:sz w:val="22"/>
          <w:vertAlign w:val="subscript"/>
        </w:rPr>
        <w:t>min</w:t>
      </w:r>
      <w:r>
        <w:rPr>
          <w:rFonts w:cs="Arial"/>
          <w:sz w:val="22"/>
        </w:rPr>
        <w:t>=1,00</w:t>
      </w:r>
      <w:r w:rsidRPr="00F37C5F">
        <w:rPr>
          <w:rFonts w:cs="Arial"/>
          <w:sz w:val="22"/>
        </w:rPr>
        <w:t xml:space="preserve"> </w:t>
      </w:r>
    </w:p>
    <w:p w:rsidR="00A319B4" w:rsidRPr="00F37C5F" w:rsidRDefault="00A319B4" w:rsidP="00F6406D">
      <w:pPr>
        <w:jc w:val="both"/>
        <w:rPr>
          <w:rFonts w:cs="Arial"/>
          <w:sz w:val="22"/>
        </w:rPr>
      </w:pPr>
      <w:r w:rsidRPr="007F2DB8">
        <w:rPr>
          <w:rFonts w:cs="Arial"/>
          <w:b/>
          <w:sz w:val="22"/>
        </w:rPr>
        <w:t>5.3. Utrzymanie podbudowy</w:t>
      </w:r>
      <w:r w:rsidRPr="00F37C5F">
        <w:rPr>
          <w:rFonts w:cs="Arial"/>
          <w:sz w:val="22"/>
        </w:rPr>
        <w:t xml:space="preserve">Podbudowa po wykonaniu, a przed ułożeniem następnej warstwy, powinna być utrzymywana w dobrym stanie.    Jeżeli Wykonawca będzie wykorzystywał, </w:t>
      </w:r>
      <w:r>
        <w:rPr>
          <w:rFonts w:cs="Arial"/>
          <w:sz w:val="22"/>
        </w:rPr>
        <w:t xml:space="preserve">za zgodą Inspektora Nadzoru, gotową </w:t>
      </w:r>
      <w:r w:rsidRPr="00F37C5F">
        <w:rPr>
          <w:rFonts w:cs="Arial"/>
          <w:sz w:val="22"/>
        </w:rPr>
        <w:t>podbu</w:t>
      </w:r>
      <w:r>
        <w:rPr>
          <w:rFonts w:cs="Arial"/>
          <w:sz w:val="22"/>
        </w:rPr>
        <w:t xml:space="preserve">dowę do ruchu budowlanego, to </w:t>
      </w:r>
      <w:r w:rsidRPr="00F37C5F">
        <w:rPr>
          <w:rFonts w:cs="Arial"/>
          <w:sz w:val="22"/>
        </w:rPr>
        <w:t>jest obowiązany naprawić wszelkie uszkodzenia podbudowy, spowodowane prze</w:t>
      </w:r>
      <w:r>
        <w:rPr>
          <w:rFonts w:cs="Arial"/>
          <w:sz w:val="22"/>
        </w:rPr>
        <w:t>z ten ruch. Koszt napraw wyni</w:t>
      </w:r>
      <w:r w:rsidRPr="00F37C5F">
        <w:rPr>
          <w:rFonts w:cs="Arial"/>
          <w:sz w:val="22"/>
        </w:rPr>
        <w:t xml:space="preserve">kłych z niewłaściwego utrzymania podbudowy obciąża Wykonawcę robót.   </w:t>
      </w:r>
    </w:p>
    <w:p w:rsidR="00A319B4" w:rsidRPr="00F6406D" w:rsidRDefault="00A319B4" w:rsidP="00F37C5F">
      <w:pPr>
        <w:rPr>
          <w:rFonts w:cs="Arial"/>
          <w:b/>
          <w:sz w:val="22"/>
        </w:rPr>
      </w:pPr>
      <w:r w:rsidRPr="00F6406D">
        <w:rPr>
          <w:rFonts w:cs="Arial"/>
          <w:b/>
          <w:sz w:val="22"/>
        </w:rPr>
        <w:t xml:space="preserve">6. KONTROLA JAKOŚCI ROBÓT  </w:t>
      </w:r>
    </w:p>
    <w:p w:rsidR="00A319B4" w:rsidRDefault="00A319B4" w:rsidP="00F37C5F">
      <w:pPr>
        <w:rPr>
          <w:rFonts w:cs="Arial"/>
          <w:sz w:val="22"/>
        </w:rPr>
      </w:pPr>
      <w:r w:rsidRPr="00F6406D">
        <w:rPr>
          <w:rFonts w:cs="Arial"/>
          <w:b/>
          <w:sz w:val="22"/>
        </w:rPr>
        <w:t xml:space="preserve">6.1. Ogólne zasady kontroli jakości robót  </w:t>
      </w:r>
      <w:r w:rsidRPr="00F37C5F">
        <w:rPr>
          <w:rFonts w:cs="Arial"/>
          <w:sz w:val="22"/>
        </w:rPr>
        <w:t xml:space="preserve">Ogólne zasady kontroli jakości robót podano w ST D-M-U-00.00.00 „Wymagania ogólne” </w:t>
      </w:r>
    </w:p>
    <w:p w:rsidR="00A319B4" w:rsidRPr="00F6406D" w:rsidRDefault="00A319B4" w:rsidP="00F37C5F">
      <w:pPr>
        <w:rPr>
          <w:rFonts w:cs="Arial"/>
          <w:b/>
          <w:sz w:val="22"/>
        </w:rPr>
      </w:pPr>
      <w:r w:rsidRPr="00F37C5F">
        <w:rPr>
          <w:rFonts w:cs="Arial"/>
          <w:sz w:val="22"/>
        </w:rPr>
        <w:t xml:space="preserve">pkt 6.  </w:t>
      </w:r>
    </w:p>
    <w:p w:rsidR="00A319B4" w:rsidRPr="00F6406D" w:rsidRDefault="00A319B4" w:rsidP="00F37C5F">
      <w:pPr>
        <w:rPr>
          <w:rFonts w:cs="Arial"/>
          <w:b/>
          <w:sz w:val="22"/>
        </w:rPr>
      </w:pPr>
      <w:r w:rsidRPr="00F6406D">
        <w:rPr>
          <w:rFonts w:cs="Arial"/>
          <w:b/>
          <w:sz w:val="22"/>
        </w:rPr>
        <w:t xml:space="preserve">6.2. Badania </w:t>
      </w:r>
      <w:r>
        <w:rPr>
          <w:rFonts w:cs="Arial"/>
          <w:b/>
          <w:sz w:val="22"/>
        </w:rPr>
        <w:t xml:space="preserve">przed przystąpieniem do robót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Przed przystąpieniem do robót Wykonawca powinien wykonać badania kruszyw</w:t>
      </w:r>
      <w:r>
        <w:rPr>
          <w:rFonts w:cs="Arial"/>
          <w:sz w:val="22"/>
        </w:rPr>
        <w:t xml:space="preserve">  przeznaczonych do wykonania </w:t>
      </w:r>
      <w:r w:rsidRPr="00F37C5F">
        <w:rPr>
          <w:rFonts w:cs="Arial"/>
          <w:sz w:val="22"/>
        </w:rPr>
        <w:t>robót i przedstawić wyniki</w:t>
      </w:r>
      <w:r>
        <w:rPr>
          <w:rFonts w:cs="Arial"/>
          <w:sz w:val="22"/>
        </w:rPr>
        <w:t xml:space="preserve"> tych badań Inspektorowi Nadzoru</w:t>
      </w:r>
      <w:r w:rsidRPr="00F37C5F">
        <w:rPr>
          <w:rFonts w:cs="Arial"/>
          <w:sz w:val="22"/>
        </w:rPr>
        <w:t xml:space="preserve"> w celu akceptacji materiał</w:t>
      </w:r>
      <w:r>
        <w:rPr>
          <w:rFonts w:cs="Arial"/>
          <w:sz w:val="22"/>
        </w:rPr>
        <w:t xml:space="preserve">ów. </w:t>
      </w:r>
      <w:r w:rsidRPr="00F37C5F"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 Badania w czasie robót  </w:t>
      </w:r>
    </w:p>
    <w:p w:rsidR="00A319B4" w:rsidRPr="007A4D8F" w:rsidRDefault="00A319B4" w:rsidP="00F37C5F">
      <w:pPr>
        <w:rPr>
          <w:rFonts w:cs="Arial"/>
          <w:b/>
          <w:sz w:val="22"/>
        </w:rPr>
      </w:pPr>
    </w:p>
    <w:p w:rsidR="00A319B4" w:rsidRPr="007A4D8F" w:rsidRDefault="00A319B4" w:rsidP="00F37C5F">
      <w:pPr>
        <w:rPr>
          <w:rFonts w:cs="Arial"/>
          <w:b/>
          <w:sz w:val="22"/>
        </w:rPr>
      </w:pPr>
      <w:r w:rsidRPr="007A4D8F">
        <w:rPr>
          <w:rFonts w:cs="Arial"/>
          <w:b/>
          <w:sz w:val="22"/>
        </w:rPr>
        <w:t>6.3.1. Częstotliwość</w:t>
      </w:r>
      <w:r>
        <w:rPr>
          <w:rFonts w:cs="Arial"/>
          <w:b/>
          <w:sz w:val="22"/>
        </w:rPr>
        <w:t xml:space="preserve"> oraz zakres badań i pomiarów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Częstotliwość oraz zakr</w:t>
      </w:r>
      <w:r>
        <w:rPr>
          <w:rFonts w:cs="Arial"/>
          <w:sz w:val="22"/>
        </w:rPr>
        <w:t xml:space="preserve">es badań  podano w tablicy 3.  </w:t>
      </w: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Tablica 3 Częstotliwość ora zakres  badań przy budowie podbudowy z kruszyw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stabilizowanych mechanicznie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931"/>
        <w:gridCol w:w="2303"/>
        <w:gridCol w:w="2303"/>
      </w:tblGrid>
      <w:tr w:rsidR="00A319B4" w:rsidRPr="00595591" w:rsidTr="00595591">
        <w:trPr>
          <w:trHeight w:val="150"/>
        </w:trPr>
        <w:tc>
          <w:tcPr>
            <w:tcW w:w="675" w:type="dxa"/>
            <w:vMerge w:val="restart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Lp</w:t>
            </w:r>
          </w:p>
        </w:tc>
        <w:tc>
          <w:tcPr>
            <w:tcW w:w="3931" w:type="dxa"/>
            <w:vMerge w:val="restart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Wyszczególnienie badań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Częstotliwość badań</w:t>
            </w:r>
          </w:p>
        </w:tc>
      </w:tr>
      <w:tr w:rsidR="00A319B4" w:rsidRPr="00595591" w:rsidTr="00595591">
        <w:trPr>
          <w:trHeight w:val="90"/>
        </w:trPr>
        <w:tc>
          <w:tcPr>
            <w:tcW w:w="675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3931" w:type="dxa"/>
            <w:vMerge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Minimalna liczba badań na dziennej działce roboczej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Max.powierzchnia podbudowy przypadająca na jedno badanie</w:t>
            </w:r>
          </w:p>
        </w:tc>
      </w:tr>
      <w:tr w:rsidR="00A319B4" w:rsidRPr="00595591" w:rsidTr="00595591">
        <w:tc>
          <w:tcPr>
            <w:tcW w:w="67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</w:t>
            </w:r>
          </w:p>
        </w:tc>
        <w:tc>
          <w:tcPr>
            <w:tcW w:w="393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uziarnienie mieszanki</w:t>
            </w:r>
          </w:p>
        </w:tc>
        <w:tc>
          <w:tcPr>
            <w:tcW w:w="2303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2</w:t>
            </w:r>
          </w:p>
        </w:tc>
        <w:tc>
          <w:tcPr>
            <w:tcW w:w="2303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600m2</w:t>
            </w:r>
          </w:p>
        </w:tc>
      </w:tr>
      <w:tr w:rsidR="00A319B4" w:rsidRPr="00595591" w:rsidTr="00595591">
        <w:tc>
          <w:tcPr>
            <w:tcW w:w="67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2</w:t>
            </w:r>
          </w:p>
        </w:tc>
        <w:tc>
          <w:tcPr>
            <w:tcW w:w="393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wilgotność mieszanki</w:t>
            </w:r>
          </w:p>
        </w:tc>
        <w:tc>
          <w:tcPr>
            <w:tcW w:w="2303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303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</w:tr>
      <w:tr w:rsidR="00A319B4" w:rsidRPr="00595591" w:rsidTr="00595591">
        <w:tc>
          <w:tcPr>
            <w:tcW w:w="67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3</w:t>
            </w:r>
          </w:p>
        </w:tc>
        <w:tc>
          <w:tcPr>
            <w:tcW w:w="393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zagęszczenie warstwy</w:t>
            </w:r>
          </w:p>
        </w:tc>
        <w:tc>
          <w:tcPr>
            <w:tcW w:w="2303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2</w:t>
            </w:r>
          </w:p>
        </w:tc>
        <w:tc>
          <w:tcPr>
            <w:tcW w:w="2303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1000m2</w:t>
            </w:r>
          </w:p>
        </w:tc>
      </w:tr>
      <w:tr w:rsidR="00A319B4" w:rsidRPr="00595591" w:rsidTr="00595591">
        <w:tc>
          <w:tcPr>
            <w:tcW w:w="675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</w:t>
            </w:r>
          </w:p>
        </w:tc>
        <w:tc>
          <w:tcPr>
            <w:tcW w:w="393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badanie właściwości kruszywa wg. tab.1 </w:t>
            </w:r>
          </w:p>
        </w:tc>
        <w:tc>
          <w:tcPr>
            <w:tcW w:w="4606" w:type="dxa"/>
            <w:gridSpan w:val="2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dla każdej partii kruszywa i przy każdej zmianie kruszywa</w:t>
            </w:r>
          </w:p>
        </w:tc>
      </w:tr>
    </w:tbl>
    <w:p w:rsidR="00A319B4" w:rsidRPr="00F37C5F" w:rsidRDefault="00A319B4" w:rsidP="005D4650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</w:t>
      </w:r>
    </w:p>
    <w:p w:rsidR="00A319B4" w:rsidRPr="005D4650" w:rsidRDefault="00A319B4" w:rsidP="00F37C5F">
      <w:pPr>
        <w:rPr>
          <w:rFonts w:cs="Arial"/>
          <w:b/>
          <w:sz w:val="22"/>
        </w:rPr>
      </w:pPr>
      <w:r w:rsidRPr="005D4650">
        <w:rPr>
          <w:rFonts w:cs="Arial"/>
          <w:b/>
          <w:sz w:val="22"/>
        </w:rPr>
        <w:t>6.3.2. Uziarnienie miesz</w:t>
      </w:r>
      <w:r>
        <w:rPr>
          <w:rFonts w:cs="Arial"/>
          <w:b/>
          <w:sz w:val="22"/>
        </w:rPr>
        <w:t xml:space="preserve">anki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Uziarnienie mieszanki powinno być zgodne z wymaganiami podanymi w pkt 2.3.1.    Próbk</w:t>
      </w:r>
      <w:r>
        <w:rPr>
          <w:rFonts w:cs="Arial"/>
          <w:sz w:val="22"/>
        </w:rPr>
        <w:t xml:space="preserve">i  należy  pobierać  w </w:t>
      </w:r>
      <w:r w:rsidRPr="00F37C5F">
        <w:rPr>
          <w:rFonts w:cs="Arial"/>
          <w:sz w:val="22"/>
        </w:rPr>
        <w:t>sposób losowy, z rozłożonej warstwy, przed jej zagęszczeniem. Wyniki badań powinny być na bieżąco przeka</w:t>
      </w:r>
      <w:r>
        <w:rPr>
          <w:rFonts w:cs="Arial"/>
          <w:sz w:val="22"/>
        </w:rPr>
        <w:t>zywane Inspektorowi Nadzoru.</w:t>
      </w:r>
      <w:r w:rsidRPr="00F37C5F">
        <w:rPr>
          <w:rFonts w:cs="Arial"/>
          <w:sz w:val="22"/>
        </w:rPr>
        <w:t xml:space="preserve">  </w:t>
      </w:r>
    </w:p>
    <w:p w:rsidR="00A319B4" w:rsidRPr="005D4650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6.3.3. Wilgotność mieszanki 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Wilgotność mieszanki powinna odpowiadać wilgotności optymalnej, określonej w</w:t>
      </w:r>
      <w:r>
        <w:rPr>
          <w:rFonts w:cs="Arial"/>
          <w:sz w:val="22"/>
        </w:rPr>
        <w:t xml:space="preserve">edług próby Proctora, zgodnie </w:t>
      </w:r>
      <w:r w:rsidRPr="00F37C5F">
        <w:rPr>
          <w:rFonts w:cs="Arial"/>
          <w:sz w:val="22"/>
        </w:rPr>
        <w:t>z PN-B-04</w:t>
      </w:r>
      <w:r>
        <w:rPr>
          <w:rFonts w:cs="Arial"/>
          <w:sz w:val="22"/>
        </w:rPr>
        <w:t>481 [1]</w:t>
      </w:r>
      <w:r w:rsidRPr="00F37C5F">
        <w:rPr>
          <w:rFonts w:cs="Arial"/>
          <w:sz w:val="22"/>
        </w:rPr>
        <w:t xml:space="preserve">(metoda II), z tolerancją +10% -20%.  </w:t>
      </w:r>
    </w:p>
    <w:p w:rsidR="00A319B4" w:rsidRPr="005D4650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6.3.4. Zagęszczenie podbudowy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Zagęszczenie </w:t>
      </w:r>
      <w:r w:rsidRPr="00F37C5F">
        <w:rPr>
          <w:rFonts w:cs="Arial"/>
          <w:sz w:val="22"/>
        </w:rPr>
        <w:t>warstwy powinno odbywać się aż do osiągnięcia wymaganego wskaźnika zagęszczenia.  Zagęszczenie należy</w:t>
      </w:r>
      <w:r>
        <w:rPr>
          <w:rFonts w:cs="Arial"/>
          <w:sz w:val="22"/>
        </w:rPr>
        <w:t xml:space="preserve"> sprawdzać wg metody obciążeń pł</w:t>
      </w:r>
      <w:r w:rsidRPr="00F37C5F">
        <w:rPr>
          <w:rFonts w:cs="Arial"/>
          <w:sz w:val="22"/>
        </w:rPr>
        <w:t>ytowych, wg PN-S-022</w:t>
      </w:r>
      <w:r>
        <w:rPr>
          <w:rFonts w:cs="Arial"/>
          <w:sz w:val="22"/>
        </w:rPr>
        <w:t xml:space="preserve">05 przy drugim i pierwszym obciążeniu, </w:t>
      </w:r>
      <w:r w:rsidRPr="00F37C5F">
        <w:rPr>
          <w:rFonts w:cs="Arial"/>
          <w:sz w:val="22"/>
        </w:rPr>
        <w:t>dla podbudów w zakresie przyrostu obciążenia jednostkowe</w:t>
      </w:r>
      <w:r>
        <w:rPr>
          <w:rFonts w:cs="Arial"/>
          <w:sz w:val="22"/>
        </w:rPr>
        <w:t xml:space="preserve">go od 0,25MPa do 0,35MPa </w:t>
      </w:r>
      <w:r w:rsidRPr="00F37C5F">
        <w:rPr>
          <w:rFonts w:cs="Arial"/>
          <w:sz w:val="22"/>
        </w:rPr>
        <w:t>oraz</w:t>
      </w:r>
      <w:r>
        <w:rPr>
          <w:rFonts w:cs="Arial"/>
          <w:sz w:val="22"/>
        </w:rPr>
        <w:t xml:space="preserve">  dla  kończącego  obciążenia 0,45MPa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Moduły odkształcenia oblicza się z następujących wzorów:  </w:t>
      </w:r>
    </w:p>
    <w:p w:rsidR="00A319B4" w:rsidRPr="008D0D72" w:rsidRDefault="00A319B4" w:rsidP="00F37C5F">
      <w:pPr>
        <w:rPr>
          <w:rFonts w:cs="Arial"/>
          <w:sz w:val="22"/>
          <w:lang w:val="en-US"/>
        </w:rPr>
      </w:pPr>
      <w:r w:rsidRPr="008D0D72">
        <w:rPr>
          <w:rFonts w:cs="Arial"/>
          <w:sz w:val="22"/>
          <w:lang w:val="en-US"/>
        </w:rPr>
        <w:t>M</w:t>
      </w:r>
      <w:r w:rsidRPr="008D0D72">
        <w:rPr>
          <w:rFonts w:cs="Arial"/>
          <w:sz w:val="22"/>
          <w:vertAlign w:val="subscript"/>
          <w:lang w:val="en-US"/>
        </w:rPr>
        <w:t>E1</w:t>
      </w:r>
      <w:r w:rsidRPr="008D0D72">
        <w:rPr>
          <w:rFonts w:cs="Arial"/>
          <w:sz w:val="22"/>
          <w:lang w:val="en-US"/>
        </w:rPr>
        <w:t xml:space="preserve">= </w:t>
      </w:r>
      <w:r>
        <w:rPr>
          <w:rFonts w:cs="Arial"/>
          <w:sz w:val="22"/>
          <w:lang w:val="en-US"/>
        </w:rPr>
        <w:t>¾x</w:t>
      </w:r>
      <w:r w:rsidRPr="008D0D72">
        <w:rPr>
          <w:rFonts w:cs="Arial"/>
          <w:sz w:val="22"/>
          <w:lang w:val="en-US"/>
        </w:rPr>
        <w:t>(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p</w:t>
      </w:r>
      <w:r w:rsidRPr="008D0D72">
        <w:rPr>
          <w:rFonts w:cs="Arial"/>
          <w:sz w:val="22"/>
          <w:vertAlign w:val="subscript"/>
          <w:lang w:val="en-US"/>
        </w:rPr>
        <w:t>1</w:t>
      </w:r>
      <w:r w:rsidRPr="008D0D72">
        <w:rPr>
          <w:rFonts w:cs="Arial"/>
          <w:sz w:val="22"/>
          <w:lang w:val="en-US"/>
        </w:rPr>
        <w:t>/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s</w:t>
      </w:r>
      <w:r w:rsidRPr="008D0D72">
        <w:rPr>
          <w:rFonts w:cs="Arial"/>
          <w:sz w:val="22"/>
          <w:vertAlign w:val="subscript"/>
          <w:lang w:val="en-US"/>
        </w:rPr>
        <w:t>1</w:t>
      </w:r>
      <w:r>
        <w:rPr>
          <w:rFonts w:cs="Arial"/>
          <w:sz w:val="22"/>
          <w:lang w:val="en-US"/>
        </w:rPr>
        <w:t>)x</w:t>
      </w:r>
      <w:r w:rsidRPr="008D0D72">
        <w:rPr>
          <w:rFonts w:cs="Arial"/>
          <w:sz w:val="22"/>
          <w:lang w:val="en-US"/>
        </w:rPr>
        <w:t>D    M</w:t>
      </w:r>
      <w:r w:rsidRPr="008D0D72">
        <w:rPr>
          <w:rFonts w:cs="Arial"/>
          <w:sz w:val="22"/>
          <w:vertAlign w:val="subscript"/>
          <w:lang w:val="en-US"/>
        </w:rPr>
        <w:t>E</w:t>
      </w:r>
      <w:r>
        <w:rPr>
          <w:rFonts w:cs="Arial"/>
          <w:sz w:val="22"/>
          <w:vertAlign w:val="subscript"/>
          <w:lang w:val="en-US"/>
        </w:rPr>
        <w:t>2</w:t>
      </w:r>
      <w:r w:rsidRPr="008D0D72">
        <w:rPr>
          <w:rFonts w:cs="Arial"/>
          <w:sz w:val="22"/>
          <w:lang w:val="en-US"/>
        </w:rPr>
        <w:t xml:space="preserve">= </w:t>
      </w:r>
      <w:r>
        <w:rPr>
          <w:rFonts w:cs="Arial"/>
          <w:sz w:val="22"/>
          <w:lang w:val="en-US"/>
        </w:rPr>
        <w:t>¾x</w:t>
      </w:r>
      <w:r w:rsidRPr="008D0D72">
        <w:rPr>
          <w:rFonts w:cs="Arial"/>
          <w:sz w:val="22"/>
          <w:lang w:val="en-US"/>
        </w:rPr>
        <w:t>(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p</w:t>
      </w:r>
      <w:r>
        <w:rPr>
          <w:rFonts w:cs="Arial"/>
          <w:sz w:val="22"/>
          <w:vertAlign w:val="subscript"/>
          <w:lang w:val="en-US"/>
        </w:rPr>
        <w:t>2</w:t>
      </w:r>
      <w:r w:rsidRPr="008D0D72">
        <w:rPr>
          <w:rFonts w:cs="Arial"/>
          <w:sz w:val="22"/>
          <w:lang w:val="en-US"/>
        </w:rPr>
        <w:t>/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s</w:t>
      </w:r>
      <w:r>
        <w:rPr>
          <w:rFonts w:cs="Arial"/>
          <w:sz w:val="22"/>
          <w:vertAlign w:val="subscript"/>
          <w:lang w:val="en-US"/>
        </w:rPr>
        <w:t>2</w:t>
      </w:r>
      <w:r>
        <w:rPr>
          <w:rFonts w:cs="Arial"/>
          <w:sz w:val="22"/>
          <w:lang w:val="en-US"/>
        </w:rPr>
        <w:t xml:space="preserve">)xD    </w:t>
      </w:r>
    </w:p>
    <w:p w:rsidR="00A319B4" w:rsidRPr="008D0D72" w:rsidRDefault="00A319B4" w:rsidP="00F37C5F">
      <w:pPr>
        <w:rPr>
          <w:rFonts w:cs="Arial"/>
          <w:sz w:val="22"/>
          <w:lang w:val="en-US"/>
        </w:rPr>
      </w:pP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gdzie:  </w:t>
      </w:r>
      <w:r>
        <w:rPr>
          <w:rFonts w:cs="Arial"/>
          <w:sz w:val="22"/>
        </w:rPr>
        <w:t>M</w:t>
      </w:r>
      <w:r w:rsidRPr="008D0D72">
        <w:rPr>
          <w:rFonts w:cs="Arial"/>
          <w:sz w:val="22"/>
          <w:vertAlign w:val="subscript"/>
        </w:rPr>
        <w:t xml:space="preserve">E1 </w:t>
      </w:r>
      <w:r w:rsidRPr="00F37C5F">
        <w:rPr>
          <w:rFonts w:cs="Arial"/>
          <w:sz w:val="22"/>
        </w:rPr>
        <w:t xml:space="preserve">       - moduł pierwotny odkształcenia [MPa],  </w:t>
      </w:r>
      <w:r>
        <w:rPr>
          <w:rFonts w:cs="Arial"/>
          <w:sz w:val="22"/>
        </w:rPr>
        <w:t>M</w:t>
      </w:r>
      <w:r w:rsidRPr="008D0D72">
        <w:rPr>
          <w:rFonts w:cs="Arial"/>
          <w:sz w:val="22"/>
          <w:vertAlign w:val="subscript"/>
        </w:rPr>
        <w:t>E2</w:t>
      </w:r>
      <w:r w:rsidRPr="00F37C5F">
        <w:rPr>
          <w:rFonts w:cs="Arial"/>
          <w:sz w:val="22"/>
        </w:rPr>
        <w:t xml:space="preserve">        - moduł wtórny odkształcenia [MPa],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p</w:t>
      </w:r>
      <w:r>
        <w:rPr>
          <w:rFonts w:cs="Arial"/>
          <w:sz w:val="22"/>
          <w:vertAlign w:val="subscript"/>
        </w:rPr>
        <w:t>1</w:t>
      </w:r>
      <w:r w:rsidRPr="00F37C5F">
        <w:rPr>
          <w:rFonts w:cs="Arial"/>
          <w:sz w:val="22"/>
        </w:rPr>
        <w:t xml:space="preserve">        - różnica nacisków w pier</w:t>
      </w:r>
      <w:r>
        <w:rPr>
          <w:rFonts w:cs="Arial"/>
          <w:sz w:val="22"/>
        </w:rPr>
        <w:t xml:space="preserve">wszym cyklu obciążania [MPa],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p</w:t>
      </w:r>
      <w:r w:rsidRPr="008D0D72">
        <w:rPr>
          <w:rFonts w:cs="Arial"/>
          <w:sz w:val="22"/>
          <w:vertAlign w:val="subscript"/>
        </w:rPr>
        <w:t>2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- różnica nacisków w d</w:t>
      </w:r>
      <w:r>
        <w:rPr>
          <w:rFonts w:cs="Arial"/>
          <w:sz w:val="22"/>
        </w:rPr>
        <w:t xml:space="preserve">rugim cyklu obciążania [MPa],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s</w:t>
      </w:r>
      <w:r>
        <w:rPr>
          <w:rFonts w:cs="Arial"/>
          <w:sz w:val="22"/>
          <w:vertAlign w:val="subscript"/>
        </w:rPr>
        <w:t>1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- przyrost osiadań </w:t>
      </w:r>
      <w:r>
        <w:rPr>
          <w:rFonts w:cs="Arial"/>
          <w:sz w:val="22"/>
        </w:rPr>
        <w:t>odpowiadający różnicy nacisków Δ</w:t>
      </w:r>
      <w:r w:rsidRPr="00F37C5F">
        <w:rPr>
          <w:rFonts w:cs="Arial"/>
          <w:sz w:val="22"/>
        </w:rPr>
        <w:t>p</w:t>
      </w:r>
      <w:r>
        <w:rPr>
          <w:rFonts w:cs="Arial"/>
          <w:sz w:val="22"/>
          <w:vertAlign w:val="subscript"/>
        </w:rPr>
        <w:t>1</w:t>
      </w:r>
      <w:r>
        <w:rPr>
          <w:rFonts w:cs="Arial"/>
          <w:sz w:val="22"/>
        </w:rPr>
        <w:t xml:space="preserve"> [mm],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s</w:t>
      </w:r>
      <w:r w:rsidRPr="008D0D72">
        <w:rPr>
          <w:rFonts w:cs="Arial"/>
          <w:sz w:val="22"/>
          <w:vertAlign w:val="subscript"/>
        </w:rPr>
        <w:t>2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- przyrost osiadań </w:t>
      </w:r>
      <w:r>
        <w:rPr>
          <w:rFonts w:cs="Arial"/>
          <w:sz w:val="22"/>
        </w:rPr>
        <w:t>odpowiadający różnicy nacisków Δ</w:t>
      </w:r>
      <w:r w:rsidRPr="00F37C5F">
        <w:rPr>
          <w:rFonts w:cs="Arial"/>
          <w:sz w:val="22"/>
        </w:rPr>
        <w:t>p</w:t>
      </w:r>
      <w:r w:rsidRPr="002504D1">
        <w:rPr>
          <w:rFonts w:cs="Arial"/>
          <w:sz w:val="22"/>
          <w:vertAlign w:val="subscript"/>
        </w:rPr>
        <w:t>2</w:t>
      </w:r>
      <w:r>
        <w:rPr>
          <w:rFonts w:cs="Arial"/>
          <w:sz w:val="22"/>
        </w:rPr>
        <w:t xml:space="preserve"> [mm],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D     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- średnica płyty [mm] (D = 300 mm).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Zagęszczenie warstwy należy uznać za prawidłowe, gdy stosunek wtórnego mo</w:t>
      </w:r>
      <w:r>
        <w:rPr>
          <w:rFonts w:cs="Arial"/>
          <w:sz w:val="22"/>
        </w:rPr>
        <w:t>dułu M</w:t>
      </w:r>
      <w:r w:rsidRPr="002504D1">
        <w:rPr>
          <w:rFonts w:cs="Arial"/>
          <w:sz w:val="22"/>
          <w:vertAlign w:val="subscript"/>
        </w:rPr>
        <w:t>E2</w:t>
      </w:r>
      <w:r>
        <w:rPr>
          <w:rFonts w:cs="Arial"/>
          <w:sz w:val="22"/>
        </w:rPr>
        <w:t xml:space="preserve"> do pierwotnego modułu </w:t>
      </w:r>
      <w:r w:rsidRPr="00F37C5F">
        <w:rPr>
          <w:rFonts w:cs="Arial"/>
          <w:sz w:val="22"/>
        </w:rPr>
        <w:t xml:space="preserve">odkształcenia </w:t>
      </w:r>
      <w:r>
        <w:rPr>
          <w:rFonts w:cs="Arial"/>
          <w:sz w:val="22"/>
        </w:rPr>
        <w:t>M</w:t>
      </w:r>
      <w:r w:rsidRPr="002504D1">
        <w:rPr>
          <w:rFonts w:cs="Arial"/>
          <w:sz w:val="22"/>
          <w:vertAlign w:val="subscript"/>
        </w:rPr>
        <w:t>E1</w:t>
      </w:r>
      <w:r w:rsidRPr="00F37C5F">
        <w:rPr>
          <w:rFonts w:cs="Arial"/>
          <w:sz w:val="22"/>
        </w:rPr>
        <w:t xml:space="preserve"> jest nie w</w:t>
      </w:r>
      <w:r>
        <w:rPr>
          <w:rFonts w:cs="Arial"/>
          <w:sz w:val="22"/>
        </w:rPr>
        <w:t>iększy od 2,2 .</w:t>
      </w:r>
      <w:r w:rsidRPr="00F37C5F">
        <w:rPr>
          <w:rFonts w:cs="Arial"/>
          <w:sz w:val="22"/>
        </w:rPr>
        <w:t xml:space="preserve">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Za zgodą Inspektora Nadzoru dopuszcza się badanie zagęszczenia metodą płyty dynamicznej, po określeniu odpowiedniej korelacji modułu E</w:t>
      </w:r>
      <w:r w:rsidRPr="0094268A">
        <w:rPr>
          <w:rFonts w:ascii="Symbol" w:hAnsi="Symbol" w:cs="Arial"/>
          <w:sz w:val="22"/>
          <w:vertAlign w:val="subscript"/>
        </w:rPr>
        <w:t></w:t>
      </w:r>
      <w:r w:rsidRPr="0094268A">
        <w:rPr>
          <w:rFonts w:cs="Arial"/>
          <w:sz w:val="22"/>
          <w:vertAlign w:val="subscript"/>
        </w:rPr>
        <w:t>d</w:t>
      </w:r>
      <w:r>
        <w:rPr>
          <w:rFonts w:cs="Arial"/>
          <w:sz w:val="22"/>
          <w:vertAlign w:val="subscript"/>
        </w:rPr>
        <w:t xml:space="preserve"> </w:t>
      </w:r>
      <w:r w:rsidRPr="0094268A">
        <w:rPr>
          <w:rFonts w:cs="Arial"/>
          <w:sz w:val="22"/>
        </w:rPr>
        <w:t>dla danego materiału</w:t>
      </w:r>
      <w:r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(na ogół: E</w:t>
      </w:r>
      <w:r w:rsidRPr="0094268A">
        <w:rPr>
          <w:rFonts w:ascii="Symbol" w:hAnsi="Symbol" w:cs="Arial"/>
          <w:sz w:val="22"/>
          <w:vertAlign w:val="subscript"/>
        </w:rPr>
        <w:t></w:t>
      </w:r>
      <w:r w:rsidRPr="0094268A">
        <w:rPr>
          <w:rFonts w:cs="Arial"/>
          <w:sz w:val="22"/>
          <w:vertAlign w:val="subscript"/>
        </w:rPr>
        <w:t>d</w:t>
      </w:r>
      <w:r>
        <w:rPr>
          <w:rFonts w:cs="Arial"/>
          <w:sz w:val="22"/>
        </w:rPr>
        <w:t>≈ ½ M</w:t>
      </w:r>
      <w:r>
        <w:rPr>
          <w:rFonts w:cs="Arial"/>
          <w:sz w:val="22"/>
          <w:vertAlign w:val="subscript"/>
        </w:rPr>
        <w:t>E2</w:t>
      </w:r>
      <w:r>
        <w:rPr>
          <w:rFonts w:cs="Arial"/>
          <w:sz w:val="22"/>
        </w:rPr>
        <w:t>)</w:t>
      </w:r>
    </w:p>
    <w:p w:rsidR="00A319B4" w:rsidRPr="007A2C0A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b/>
          <w:sz w:val="22"/>
        </w:rPr>
      </w:pPr>
    </w:p>
    <w:p w:rsidR="00A319B4" w:rsidRDefault="00A319B4" w:rsidP="00F37C5F">
      <w:pPr>
        <w:rPr>
          <w:rFonts w:cs="Arial"/>
          <w:b/>
          <w:sz w:val="22"/>
        </w:rPr>
      </w:pPr>
    </w:p>
    <w:p w:rsidR="00A319B4" w:rsidRPr="002504D1" w:rsidRDefault="00A319B4" w:rsidP="00F37C5F">
      <w:pPr>
        <w:rPr>
          <w:rFonts w:cs="Arial"/>
          <w:b/>
          <w:sz w:val="22"/>
        </w:rPr>
      </w:pPr>
      <w:r w:rsidRPr="0094268A">
        <w:rPr>
          <w:rFonts w:cs="Arial"/>
          <w:b/>
          <w:sz w:val="22"/>
        </w:rPr>
        <w:t xml:space="preserve">6.3.5. Właściwości kruszywa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Badania kruszywa powinny obejmować ocenę wszystkich właściw</w:t>
      </w:r>
      <w:r>
        <w:rPr>
          <w:rFonts w:cs="Arial"/>
          <w:sz w:val="22"/>
        </w:rPr>
        <w:t xml:space="preserve">ości określonych w pkt 2.3.1. 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Próbki do badań </w:t>
      </w:r>
      <w:r w:rsidRPr="00F37C5F">
        <w:rPr>
          <w:rFonts w:cs="Arial"/>
          <w:sz w:val="22"/>
        </w:rPr>
        <w:t>powinny być pobierane przez Wykonawcę w spos</w:t>
      </w:r>
      <w:r>
        <w:rPr>
          <w:rFonts w:cs="Arial"/>
          <w:sz w:val="22"/>
        </w:rPr>
        <w:t>ób losowy w obecności Inspektora Nadzoru.</w:t>
      </w:r>
      <w:r w:rsidRPr="00F37C5F">
        <w:rPr>
          <w:rFonts w:cs="Arial"/>
          <w:sz w:val="22"/>
        </w:rPr>
        <w:t xml:space="preserve">  </w:t>
      </w:r>
    </w:p>
    <w:p w:rsidR="00A319B4" w:rsidRPr="00CC07B1" w:rsidRDefault="00A319B4" w:rsidP="00F37C5F">
      <w:pPr>
        <w:rPr>
          <w:rFonts w:cs="Arial"/>
          <w:b/>
          <w:sz w:val="22"/>
        </w:rPr>
      </w:pPr>
      <w:r w:rsidRPr="00CC07B1">
        <w:rPr>
          <w:rFonts w:cs="Arial"/>
          <w:b/>
          <w:sz w:val="22"/>
        </w:rPr>
        <w:t xml:space="preserve">6.4. Wymagania dotyczące cech geometrycznych podbudowy   </w:t>
      </w:r>
    </w:p>
    <w:p w:rsidR="00A319B4" w:rsidRPr="00CC07B1" w:rsidRDefault="00A319B4" w:rsidP="00F37C5F">
      <w:pPr>
        <w:rPr>
          <w:rFonts w:cs="Arial"/>
          <w:b/>
          <w:sz w:val="22"/>
        </w:rPr>
      </w:pPr>
      <w:r w:rsidRPr="00CC07B1">
        <w:rPr>
          <w:rFonts w:cs="Arial"/>
          <w:b/>
          <w:sz w:val="22"/>
        </w:rPr>
        <w:t xml:space="preserve">6.4.1. Częstotliwość oraz zakres pomiarów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Częstotliwość oraz zakres pomiarów dotyczących cech geometrycznych podbudowy podano w tablicy 4.  Tablica 4. Częstotliwość oraz zakres pomiarów wykonanej podbudowy z kruszywa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stabil</w:t>
      </w:r>
      <w:r>
        <w:rPr>
          <w:rFonts w:cs="Arial"/>
          <w:sz w:val="22"/>
        </w:rPr>
        <w:t>i</w:t>
      </w:r>
      <w:r w:rsidRPr="00F37C5F">
        <w:rPr>
          <w:rFonts w:cs="Arial"/>
          <w:sz w:val="22"/>
        </w:rPr>
        <w:t xml:space="preserve">zowanego mechanicznie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5324"/>
        <w:gridCol w:w="3071"/>
      </w:tblGrid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Lp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Wyszczególnienie badań i pomiarów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Minimalna częstotliwość pomiarów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Szerokość podbudowy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10 razy na 1 km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2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Równość podłużna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 sposób ciągły planografem albo co 20m łatą na każdym pasie ruchu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3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Równość poprzeczna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10 razy na 1 km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Spadki poprzeczne*</w:t>
            </w:r>
            <w:r w:rsidRPr="00595591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10 razy na 1 km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Rzędne wysokościowe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co 100m</w:t>
            </w:r>
          </w:p>
        </w:tc>
      </w:tr>
      <w:tr w:rsidR="00A319B4" w:rsidRPr="00595591" w:rsidTr="00595591">
        <w:tc>
          <w:tcPr>
            <w:tcW w:w="817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</w:t>
            </w:r>
          </w:p>
        </w:tc>
        <w:tc>
          <w:tcPr>
            <w:tcW w:w="5324" w:type="dxa"/>
          </w:tcPr>
          <w:p w:rsidR="00A319B4" w:rsidRPr="00595591" w:rsidRDefault="00A319B4" w:rsidP="00F37C5F">
            <w:pPr>
              <w:rPr>
                <w:rFonts w:cs="Arial"/>
                <w:sz w:val="22"/>
                <w:vertAlign w:val="superscript"/>
              </w:rPr>
            </w:pPr>
            <w:r w:rsidRPr="00595591">
              <w:rPr>
                <w:rFonts w:cs="Arial"/>
                <w:sz w:val="22"/>
              </w:rPr>
              <w:t>Ukształtowanie osi w planie*</w:t>
            </w:r>
            <w:r w:rsidRPr="00595591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3071" w:type="dxa"/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co 100m</w:t>
            </w:r>
          </w:p>
        </w:tc>
      </w:tr>
      <w:tr w:rsidR="00A319B4" w:rsidRPr="00595591" w:rsidTr="00595591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7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Grubość podbudowy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  <w:vertAlign w:val="superscript"/>
              </w:rPr>
            </w:pPr>
            <w:r w:rsidRPr="00595591">
              <w:rPr>
                <w:rFonts w:cs="Arial"/>
                <w:sz w:val="22"/>
              </w:rPr>
              <w:t>Podczas budowy:                                                     w  3  punktach  na  każdej  działce  roboczej, lecz nie rzadziej niż raz na 400m</w:t>
            </w:r>
            <w:r w:rsidRPr="00595591">
              <w:rPr>
                <w:rFonts w:cs="Arial"/>
                <w:sz w:val="22"/>
                <w:vertAlign w:val="superscript"/>
              </w:rPr>
              <w:t>2</w:t>
            </w:r>
            <w:r w:rsidRPr="00595591">
              <w:rPr>
                <w:rFonts w:cs="Arial"/>
                <w:sz w:val="22"/>
              </w:rPr>
              <w:t xml:space="preserve">                                                           Przed odbiorem:   w 3 punktach, lecz nie  rzadziej niż raz na 2000m</w:t>
            </w:r>
            <w:r w:rsidRPr="00595591">
              <w:rPr>
                <w:rFonts w:cs="Arial"/>
                <w:sz w:val="22"/>
                <w:vertAlign w:val="superscript"/>
              </w:rPr>
              <w:t>2</w:t>
            </w:r>
          </w:p>
        </w:tc>
      </w:tr>
      <w:tr w:rsidR="00A319B4" w:rsidRPr="00595591" w:rsidTr="00595591">
        <w:trPr>
          <w:trHeight w:val="210"/>
        </w:trPr>
        <w:tc>
          <w:tcPr>
            <w:tcW w:w="817" w:type="dxa"/>
            <w:tcBorders>
              <w:top w:val="single" w:sz="4" w:space="0" w:color="auto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8</w:t>
            </w:r>
          </w:p>
        </w:tc>
        <w:tc>
          <w:tcPr>
            <w:tcW w:w="5324" w:type="dxa"/>
            <w:tcBorders>
              <w:top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Nośność podbudowy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- moduł odkształcenia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- ugięcie sprężyste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A319B4" w:rsidRPr="00595591" w:rsidRDefault="00A319B4" w:rsidP="00F37C5F">
            <w:pPr>
              <w:rPr>
                <w:rFonts w:cs="Arial"/>
                <w:sz w:val="22"/>
              </w:rPr>
            </w:pPr>
          </w:p>
          <w:p w:rsidR="00A319B4" w:rsidRPr="00595591" w:rsidRDefault="00A319B4" w:rsidP="00F37C5F">
            <w:pPr>
              <w:rPr>
                <w:rFonts w:cs="Arial"/>
                <w:sz w:val="22"/>
                <w:vertAlign w:val="superscript"/>
              </w:rPr>
            </w:pPr>
            <w:r w:rsidRPr="00595591">
              <w:rPr>
                <w:rFonts w:cs="Arial"/>
                <w:sz w:val="22"/>
              </w:rPr>
              <w:t>-co najmniej raz na każde 1000m</w:t>
            </w:r>
            <w:r w:rsidRPr="00595591">
              <w:rPr>
                <w:rFonts w:cs="Arial"/>
                <w:sz w:val="22"/>
                <w:vertAlign w:val="superscript"/>
              </w:rPr>
              <w:t>2</w:t>
            </w:r>
          </w:p>
          <w:p w:rsidR="00A319B4" w:rsidRPr="00595591" w:rsidRDefault="00A319B4" w:rsidP="00F37C5F">
            <w:pPr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- co 25m</w:t>
            </w:r>
          </w:p>
        </w:tc>
      </w:tr>
    </w:tbl>
    <w:p w:rsidR="00A319B4" w:rsidRPr="00F37C5F" w:rsidRDefault="00A319B4" w:rsidP="00D664F9">
      <w:pPr>
        <w:rPr>
          <w:rFonts w:cs="Arial"/>
          <w:sz w:val="22"/>
        </w:rPr>
      </w:pP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*)  Dodatkowe  pomiary  spadków  poprzecznych</w:t>
      </w:r>
      <w:r>
        <w:rPr>
          <w:rFonts w:cs="Arial"/>
          <w:sz w:val="22"/>
        </w:rPr>
        <w:t xml:space="preserve">  i  ukształ</w:t>
      </w:r>
      <w:r w:rsidRPr="00F37C5F">
        <w:rPr>
          <w:rFonts w:cs="Arial"/>
          <w:sz w:val="22"/>
        </w:rPr>
        <w:t xml:space="preserve">towania  osi  w  planie  należy      wykonać w punktach głównych łuków poziomych.  </w:t>
      </w:r>
    </w:p>
    <w:p w:rsidR="00A319B4" w:rsidRPr="003F0CB2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6.4.2. Szerokość podbudowy 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Szerokość podbudowy nie może różnić się od szerokości projektowanej o więcej niż +10 cm, -5 cm.  Na jezdniach bez krawężników szerokość podbudowy powinna być większa od </w:t>
      </w:r>
      <w:r>
        <w:rPr>
          <w:rFonts w:cs="Arial"/>
          <w:sz w:val="22"/>
        </w:rPr>
        <w:t>szerokości warstwy wyżej leżącej o co najmniej 1</w:t>
      </w:r>
      <w:r w:rsidRPr="00F37C5F">
        <w:rPr>
          <w:rFonts w:cs="Arial"/>
          <w:sz w:val="22"/>
        </w:rPr>
        <w:t xml:space="preserve">5 cm lub o wartość wskazaną w dokumentacji projektowej.  </w:t>
      </w:r>
    </w:p>
    <w:p w:rsidR="00A319B4" w:rsidRPr="003F0CB2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6.4.3. Równość podbudowy 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Nierówności podłużne podbudowy należy mierzyć 4-metrową łatą lub planogr</w:t>
      </w:r>
      <w:r>
        <w:rPr>
          <w:rFonts w:cs="Arial"/>
          <w:sz w:val="22"/>
        </w:rPr>
        <w:t xml:space="preserve">afem, zgodnie z BN-68/8931-04 </w:t>
      </w:r>
      <w:r w:rsidRPr="00F37C5F">
        <w:rPr>
          <w:rFonts w:cs="Arial"/>
          <w:sz w:val="22"/>
        </w:rPr>
        <w:t>[3].   Nierówności poprzeczne podbudowy</w:t>
      </w:r>
      <w:r>
        <w:rPr>
          <w:rFonts w:cs="Arial"/>
          <w:sz w:val="22"/>
        </w:rPr>
        <w:t xml:space="preserve"> należy mierzyć metodą łaty i klina</w:t>
      </w:r>
      <w:r w:rsidRPr="00F37C5F">
        <w:rPr>
          <w:rFonts w:cs="Arial"/>
          <w:sz w:val="22"/>
        </w:rPr>
        <w:t xml:space="preserve"> Nierówności </w:t>
      </w:r>
      <w:r>
        <w:rPr>
          <w:rFonts w:cs="Arial"/>
          <w:sz w:val="22"/>
        </w:rPr>
        <w:t xml:space="preserve">podbudowy  nie mogą przekraczać 12 mm.  </w: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Pr="002600BE" w:rsidRDefault="00A319B4" w:rsidP="00F37C5F">
      <w:pPr>
        <w:rPr>
          <w:rFonts w:cs="Arial"/>
          <w:b/>
          <w:sz w:val="22"/>
        </w:rPr>
      </w:pPr>
      <w:r w:rsidRPr="002600BE">
        <w:rPr>
          <w:rFonts w:cs="Arial"/>
          <w:b/>
          <w:sz w:val="22"/>
        </w:rPr>
        <w:t>6.4.4.</w:t>
      </w:r>
      <w:r>
        <w:rPr>
          <w:rFonts w:cs="Arial"/>
          <w:b/>
          <w:sz w:val="22"/>
        </w:rPr>
        <w:t xml:space="preserve"> Spadki poprzeczne podbudowy 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Spadki poprzeczne podbudowy na prostych i łukach powinny być zgodne z dok</w:t>
      </w:r>
      <w:r>
        <w:rPr>
          <w:rFonts w:cs="Arial"/>
          <w:sz w:val="22"/>
        </w:rPr>
        <w:t>umentacją projektową,  z tole</w:t>
      </w:r>
      <w:r w:rsidRPr="00F37C5F">
        <w:rPr>
          <w:rFonts w:cs="Arial"/>
          <w:sz w:val="22"/>
        </w:rPr>
        <w:t xml:space="preserve">rancją ± 0,5 %.  </w:t>
      </w:r>
    </w:p>
    <w:p w:rsidR="00A319B4" w:rsidRPr="00641548" w:rsidRDefault="00A319B4" w:rsidP="00F37C5F">
      <w:pPr>
        <w:rPr>
          <w:rFonts w:cs="Arial"/>
          <w:b/>
          <w:sz w:val="22"/>
        </w:rPr>
      </w:pPr>
      <w:r w:rsidRPr="00641548">
        <w:rPr>
          <w:rFonts w:cs="Arial"/>
          <w:b/>
          <w:sz w:val="22"/>
        </w:rPr>
        <w:t>6.4.5. R</w:t>
      </w:r>
      <w:r>
        <w:rPr>
          <w:rFonts w:cs="Arial"/>
          <w:b/>
          <w:sz w:val="22"/>
        </w:rPr>
        <w:t xml:space="preserve">zędne wysokościowe podbudowy 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Różnice pomiędzy rzędnymi wysokościowymi podbudowy i rzędnymi projektow</w:t>
      </w:r>
      <w:r>
        <w:rPr>
          <w:rFonts w:cs="Arial"/>
          <w:sz w:val="22"/>
        </w:rPr>
        <w:t xml:space="preserve">anymi nie powinny przekraczać </w:t>
      </w:r>
      <w:r w:rsidRPr="00F37C5F">
        <w:rPr>
          <w:rFonts w:cs="Arial"/>
          <w:sz w:val="22"/>
        </w:rPr>
        <w:t xml:space="preserve">+ 1 cm, -2 cm.  </w:t>
      </w:r>
    </w:p>
    <w:p w:rsidR="00A319B4" w:rsidRPr="00641548" w:rsidRDefault="00A319B4" w:rsidP="00F37C5F">
      <w:pPr>
        <w:rPr>
          <w:rFonts w:cs="Arial"/>
          <w:b/>
          <w:sz w:val="22"/>
        </w:rPr>
      </w:pPr>
      <w:r w:rsidRPr="00641548">
        <w:rPr>
          <w:rFonts w:cs="Arial"/>
          <w:b/>
          <w:sz w:val="22"/>
        </w:rPr>
        <w:t xml:space="preserve">6.4.6. Ukształtowanie osi podbudowy  </w:t>
      </w:r>
      <w:r w:rsidRPr="00F37C5F">
        <w:rPr>
          <w:rFonts w:cs="Arial"/>
          <w:sz w:val="22"/>
        </w:rPr>
        <w:t xml:space="preserve">Oś podbudowy w planie nie może być przesunięta w stosunku do osi projektowanej o więcej niż ± 5 cm.  </w:t>
      </w:r>
    </w:p>
    <w:p w:rsidR="00A319B4" w:rsidRPr="00641548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6.4.7. Grubość podbudowy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Grubość podbudowy nie może się  różnić od grubości projektowanej o więcej niż</w:t>
      </w:r>
      <w:r>
        <w:rPr>
          <w:rFonts w:cs="Arial"/>
          <w:sz w:val="22"/>
        </w:rPr>
        <w:t xml:space="preserve"> :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+ 15% , - 10%</w:t>
      </w:r>
    </w:p>
    <w:p w:rsidR="00A319B4" w:rsidRPr="006F39BE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6.4.8. Nośność podbudowy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-  moduł odkształcenia wg PN-S-02205 powinien być zgodny z podanym w tablicy 5,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Tablica 5. Cechy warstwy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5"/>
        <w:gridCol w:w="1549"/>
        <w:gridCol w:w="1535"/>
        <w:gridCol w:w="1535"/>
        <w:gridCol w:w="1536"/>
        <w:gridCol w:w="1536"/>
      </w:tblGrid>
      <w:tr w:rsidR="00A319B4" w:rsidRPr="00595591" w:rsidTr="00595591">
        <w:tc>
          <w:tcPr>
            <w:tcW w:w="1535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Podbudowa z kruszywa o wskaźniku W</w:t>
            </w:r>
            <w:r w:rsidRPr="00595591">
              <w:rPr>
                <w:rFonts w:cs="Arial"/>
                <w:sz w:val="22"/>
                <w:vertAlign w:val="subscript"/>
              </w:rPr>
              <w:t>noś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nie mniejszym niż: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77" w:type="dxa"/>
            <w:gridSpan w:val="5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Wymagane cechy podbudowy</w:t>
            </w:r>
          </w:p>
        </w:tc>
      </w:tr>
      <w:tr w:rsidR="00A319B4" w:rsidRPr="00595591" w:rsidTr="00595591">
        <w:tc>
          <w:tcPr>
            <w:tcW w:w="1535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  <w:vMerge w:val="restart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Wskaźnik zageszczenia I</w:t>
            </w:r>
            <w:r w:rsidRPr="00595591">
              <w:rPr>
                <w:rFonts w:cs="Arial"/>
                <w:sz w:val="22"/>
                <w:vertAlign w:val="subscript"/>
              </w:rPr>
              <w:t>S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  <w:vertAlign w:val="subscript"/>
              </w:rPr>
              <w:t xml:space="preserve"> </w:t>
            </w:r>
            <w:r w:rsidRPr="00595591">
              <w:rPr>
                <w:rFonts w:cs="Arial"/>
                <w:sz w:val="22"/>
              </w:rPr>
              <w:t>nie mniejszy niż: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</w:p>
        </w:tc>
        <w:tc>
          <w:tcPr>
            <w:tcW w:w="3070" w:type="dxa"/>
            <w:gridSpan w:val="2"/>
            <w:tcBorders>
              <w:top w:val="nil"/>
            </w:tcBorders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Maksymalne ugięcie sprężyste pod kołem 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(mm)</w:t>
            </w:r>
          </w:p>
        </w:tc>
        <w:tc>
          <w:tcPr>
            <w:tcW w:w="3072" w:type="dxa"/>
            <w:gridSpan w:val="2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Minimalny moduł odkształcenia mierzony płytą o średnicy 30cm (MPa)</w:t>
            </w:r>
          </w:p>
        </w:tc>
      </w:tr>
      <w:tr w:rsidR="00A319B4" w:rsidRPr="00595591" w:rsidTr="00595591">
        <w:tc>
          <w:tcPr>
            <w:tcW w:w="1535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  <w:vMerge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40 kN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50kN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od pierwszego obciążenia M</w:t>
            </w:r>
            <w:r w:rsidRPr="00595591">
              <w:rPr>
                <w:rFonts w:cs="Arial"/>
                <w:sz w:val="22"/>
                <w:vertAlign w:val="subscript"/>
              </w:rPr>
              <w:t>E1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 xml:space="preserve">od </w:t>
            </w:r>
          </w:p>
          <w:p w:rsidR="00A319B4" w:rsidRPr="00595591" w:rsidRDefault="00A319B4" w:rsidP="00595591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595591">
              <w:rPr>
                <w:rFonts w:cs="Arial"/>
                <w:sz w:val="22"/>
              </w:rPr>
              <w:t>drugiego obciążenia M</w:t>
            </w:r>
            <w:r w:rsidRPr="00595591">
              <w:rPr>
                <w:rFonts w:cs="Arial"/>
                <w:sz w:val="22"/>
                <w:vertAlign w:val="subscript"/>
              </w:rPr>
              <w:t>E2</w:t>
            </w:r>
          </w:p>
        </w:tc>
      </w:tr>
      <w:tr w:rsidR="00A319B4" w:rsidRPr="00595591" w:rsidTr="00595591"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60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1,0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1,40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1,60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60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120</w:t>
            </w:r>
          </w:p>
        </w:tc>
      </w:tr>
      <w:tr w:rsidR="00A319B4" w:rsidRPr="00595591" w:rsidTr="00595591"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80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1,0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1,25</w:t>
            </w:r>
          </w:p>
        </w:tc>
        <w:tc>
          <w:tcPr>
            <w:tcW w:w="1535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1,40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80</w:t>
            </w:r>
          </w:p>
        </w:tc>
        <w:tc>
          <w:tcPr>
            <w:tcW w:w="1536" w:type="dxa"/>
          </w:tcPr>
          <w:p w:rsidR="00A319B4" w:rsidRPr="00595591" w:rsidRDefault="00A319B4" w:rsidP="00595591">
            <w:pPr>
              <w:jc w:val="center"/>
              <w:rPr>
                <w:rFonts w:cs="Arial"/>
                <w:sz w:val="22"/>
              </w:rPr>
            </w:pPr>
            <w:r w:rsidRPr="00595591">
              <w:rPr>
                <w:rFonts w:cs="Arial"/>
                <w:sz w:val="22"/>
              </w:rPr>
              <w:t>140</w:t>
            </w:r>
          </w:p>
        </w:tc>
      </w:tr>
    </w:tbl>
    <w:p w:rsidR="00A319B4" w:rsidRPr="00F37C5F" w:rsidRDefault="00A319B4" w:rsidP="00F37C5F">
      <w:pPr>
        <w:rPr>
          <w:rFonts w:cs="Arial"/>
          <w:sz w:val="22"/>
        </w:rPr>
      </w:pPr>
    </w:p>
    <w:p w:rsidR="00A319B4" w:rsidRPr="00DB1070" w:rsidRDefault="00A319B4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 Zasady postępowania z wadliwie wykonanymi odcinkami podbudowy   </w:t>
      </w:r>
    </w:p>
    <w:p w:rsidR="00A319B4" w:rsidRPr="00DB1070" w:rsidRDefault="00A319B4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6.5.1. Niewłaściwe cechy geometryczne podbudowy 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Wszystkie powierzchnie podbudowy, które wykazują większe odchylenia od  ok</w:t>
      </w:r>
      <w:r>
        <w:rPr>
          <w:rFonts w:cs="Arial"/>
          <w:sz w:val="22"/>
        </w:rPr>
        <w:t>reślonych w punkcie 6.4 powin</w:t>
      </w:r>
      <w:r w:rsidRPr="00F37C5F">
        <w:rPr>
          <w:rFonts w:cs="Arial"/>
          <w:sz w:val="22"/>
        </w:rPr>
        <w:t>ny być naprawione przez spulchnienie lub zerwanie do głębokości co najmniej</w:t>
      </w:r>
      <w:r>
        <w:rPr>
          <w:rFonts w:cs="Arial"/>
          <w:sz w:val="22"/>
        </w:rPr>
        <w:t xml:space="preserve"> 8 cm, wyrównane i powtórnie </w:t>
      </w:r>
      <w:r w:rsidRPr="00F37C5F">
        <w:rPr>
          <w:rFonts w:cs="Arial"/>
          <w:sz w:val="22"/>
        </w:rPr>
        <w:t>zagęszczone. Dodanie nowego materiału bez spulchnienia wykonanej warstwy jest niedopuszczalne.  Jeżeli szerokość podbudowy jest mniejsza od szerokości projektowanej o więce</w:t>
      </w:r>
      <w:r>
        <w:rPr>
          <w:rFonts w:cs="Arial"/>
          <w:sz w:val="22"/>
        </w:rPr>
        <w:t xml:space="preserve">j niż 5 cm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>i nie zapewnia pod</w:t>
      </w:r>
      <w:r w:rsidRPr="00F37C5F">
        <w:rPr>
          <w:rFonts w:cs="Arial"/>
          <w:sz w:val="22"/>
        </w:rPr>
        <w:t>parcia warstwom wyżej leżącym, to Wykonawca powinien na własny koszt pos</w:t>
      </w:r>
      <w:r>
        <w:rPr>
          <w:rFonts w:cs="Arial"/>
          <w:sz w:val="22"/>
        </w:rPr>
        <w:t>zerzyć podbudowę przez spulch</w:t>
      </w:r>
      <w:r w:rsidRPr="00F37C5F">
        <w:rPr>
          <w:rFonts w:cs="Arial"/>
          <w:sz w:val="22"/>
        </w:rPr>
        <w:t>nienie warstwy na pełną grubość do połowy szerokości pasa ruchu, dołożenie m</w:t>
      </w:r>
      <w:r>
        <w:rPr>
          <w:rFonts w:cs="Arial"/>
          <w:sz w:val="22"/>
        </w:rPr>
        <w:t>ateriału i powtórne zagęszcze</w:t>
      </w:r>
      <w:r w:rsidRPr="00F37C5F">
        <w:rPr>
          <w:rFonts w:cs="Arial"/>
          <w:sz w:val="22"/>
        </w:rPr>
        <w:t xml:space="preserve">nie.  </w:t>
      </w:r>
    </w:p>
    <w:p w:rsidR="00A319B4" w:rsidRPr="00DB1070" w:rsidRDefault="00A319B4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6.5.2. Niewłaściwa grubość podbudowy   </w:t>
      </w:r>
      <w:r w:rsidRPr="00F37C5F">
        <w:rPr>
          <w:rFonts w:cs="Arial"/>
          <w:sz w:val="22"/>
        </w:rPr>
        <w:t xml:space="preserve">Na wszystkich powierzchniach wadliwych pod względem grubości, Wykonawca wykona naprawę podbudowy.  Powierzchnie powinny być naprawione przez spulchnienie lub wybranie warstwy na  odpowiednią głębokość,  </w:t>
      </w:r>
      <w:r>
        <w:rPr>
          <w:rFonts w:cs="Arial"/>
          <w:sz w:val="22"/>
        </w:rPr>
        <w:t>zgodnie  z  decyzją  Inspektora Nadzoru</w:t>
      </w:r>
      <w:r w:rsidRPr="00F37C5F">
        <w:rPr>
          <w:rFonts w:cs="Arial"/>
          <w:sz w:val="22"/>
        </w:rPr>
        <w:t>,  uzupełnione  nowym  materiałem  o  odpowiednich  właśc</w:t>
      </w:r>
      <w:r>
        <w:rPr>
          <w:rFonts w:cs="Arial"/>
          <w:sz w:val="22"/>
        </w:rPr>
        <w:t xml:space="preserve">iwościach,  wyrównane  i </w:t>
      </w:r>
      <w:r w:rsidRPr="00F37C5F">
        <w:rPr>
          <w:rFonts w:cs="Arial"/>
          <w:sz w:val="22"/>
        </w:rPr>
        <w:t>ponownie zagęszczone.  Roboty te Wykonawca wykona na własny koszt. Po wykonaniu tych robót n</w:t>
      </w:r>
      <w:r>
        <w:rPr>
          <w:rFonts w:cs="Arial"/>
          <w:sz w:val="22"/>
        </w:rPr>
        <w:t xml:space="preserve">astąpi ponowny pomiar i ocena </w:t>
      </w:r>
      <w:r w:rsidRPr="00F37C5F">
        <w:rPr>
          <w:rFonts w:cs="Arial"/>
          <w:sz w:val="22"/>
        </w:rPr>
        <w:t xml:space="preserve">grubości warstwy, według wyżej podanych zasad, na koszt Wykonawcy.  </w:t>
      </w:r>
    </w:p>
    <w:p w:rsidR="00A319B4" w:rsidRPr="00DB1070" w:rsidRDefault="00A319B4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6.5.3. Niewłaściwa nośność podbudowy 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Jeżeli nośność podbudowy będzie mniejsza od wymaganej, to Wykonawca wyk</w:t>
      </w:r>
      <w:r>
        <w:rPr>
          <w:rFonts w:cs="Arial"/>
          <w:sz w:val="22"/>
        </w:rPr>
        <w:t xml:space="preserve">ona wszelkie roboty niezbędne </w:t>
      </w:r>
      <w:r w:rsidRPr="00F37C5F">
        <w:rPr>
          <w:rFonts w:cs="Arial"/>
          <w:sz w:val="22"/>
        </w:rPr>
        <w:t>do zapewnienia wymaganej no</w:t>
      </w:r>
      <w:r>
        <w:rPr>
          <w:rFonts w:cs="Arial"/>
          <w:sz w:val="22"/>
        </w:rPr>
        <w:t>śności, zalecone przez Inspektora Nadzoru</w:t>
      </w:r>
      <w:r w:rsidRPr="00F37C5F">
        <w:rPr>
          <w:rFonts w:cs="Arial"/>
          <w:sz w:val="22"/>
        </w:rPr>
        <w:t>.  Koszty tych dodatkowych robót poniesie Wykonawca podbudowy tylko wtedy, gd</w:t>
      </w:r>
      <w:r>
        <w:rPr>
          <w:rFonts w:cs="Arial"/>
          <w:sz w:val="22"/>
        </w:rPr>
        <w:t>y zaniżenie nośności podbu</w:t>
      </w:r>
      <w:r w:rsidRPr="00F37C5F">
        <w:rPr>
          <w:rFonts w:cs="Arial"/>
          <w:sz w:val="22"/>
        </w:rPr>
        <w:t xml:space="preserve">dowy wynikło z niewłaściwego wykonania robót przez Wykonawcę podbudowy.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 OBMIAR ROBÓT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7.1. Ogólne zasady obmiaru robót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zasady obmiaru robót podano w ST D-M-U-00.00.00 „Wymagania ogólne” pkt 7.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7.2. Jednostka obmiarowa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Jednostką obmiarową jest m2 (metr kwadratowy) podbudowy z kruszywa stabil</w:t>
      </w:r>
      <w:r>
        <w:rPr>
          <w:rFonts w:cs="Arial"/>
          <w:sz w:val="22"/>
        </w:rPr>
        <w:t xml:space="preserve">izowanego mechanicznie lub </w:t>
      </w:r>
      <w:r w:rsidRPr="006C11CB">
        <w:rPr>
          <w:rFonts w:cs="Arial"/>
          <w:sz w:val="22"/>
        </w:rPr>
        <w:t>m</w:t>
      </w:r>
      <w:r>
        <w:rPr>
          <w:rFonts w:cs="Arial"/>
          <w:sz w:val="22"/>
          <w:vertAlign w:val="superscript"/>
        </w:rPr>
        <w:t>3</w:t>
      </w:r>
      <w:r>
        <w:rPr>
          <w:rFonts w:cs="Arial"/>
          <w:sz w:val="22"/>
        </w:rPr>
        <w:t xml:space="preserve"> </w:t>
      </w:r>
      <w:r w:rsidRPr="006C11CB">
        <w:rPr>
          <w:rFonts w:cs="Arial"/>
          <w:sz w:val="22"/>
        </w:rPr>
        <w:t>kruszywa</w:t>
      </w:r>
      <w:r w:rsidRPr="00F37C5F">
        <w:rPr>
          <w:rFonts w:cs="Arial"/>
          <w:sz w:val="22"/>
        </w:rPr>
        <w:t xml:space="preserve"> do wyrównania. 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8. ODBIÓR ROBÓT  </w:t>
      </w:r>
    </w:p>
    <w:p w:rsidR="00A319B4" w:rsidRPr="00F37C5F" w:rsidRDefault="00A319B4" w:rsidP="005876E9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zasady odbioru robót podano w ST D-M-U-00.00.00 „Wymagania ogólne” pkt 8.  Roboty uznaje się za zgodne z dokumentacją projektową, SST i wymaganiami I</w:t>
      </w:r>
      <w:r>
        <w:rPr>
          <w:rFonts w:cs="Arial"/>
          <w:sz w:val="22"/>
        </w:rPr>
        <w:t>nżyniera, jeżeli wszystkie po</w:t>
      </w:r>
      <w:r w:rsidRPr="00F37C5F">
        <w:rPr>
          <w:rFonts w:cs="Arial"/>
          <w:sz w:val="22"/>
        </w:rPr>
        <w:t xml:space="preserve">miary i badania z zachowaniem tolerancji wg pkt 6 dały wyniki pozytywne.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 PODSTAWA PŁATNOŚCI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9.1. Ogólne ustalenia dotyczące podstawy płatności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ustalenia dotyczą</w:t>
      </w:r>
      <w:r>
        <w:rPr>
          <w:rFonts w:cs="Arial"/>
          <w:sz w:val="22"/>
        </w:rPr>
        <w:t xml:space="preserve">ce podstawy płatności podano w </w:t>
      </w:r>
      <w:r w:rsidRPr="00F37C5F">
        <w:rPr>
          <w:rFonts w:cs="Arial"/>
          <w:sz w:val="22"/>
        </w:rPr>
        <w:t xml:space="preserve">ST D-M-U-00.00.00 „Wymagania ogólne” pkt 9.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9.2.  </w:t>
      </w:r>
      <w:r>
        <w:rPr>
          <w:rFonts w:cs="Arial"/>
          <w:b/>
          <w:sz w:val="22"/>
        </w:rPr>
        <w:t xml:space="preserve">    Cena jednostki obmiarowej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Cena wykonania 1 m2 podbudowy o</w:t>
      </w:r>
      <w:r>
        <w:rPr>
          <w:rFonts w:cs="Arial"/>
          <w:sz w:val="22"/>
        </w:rPr>
        <w:t xml:space="preserve">bejmuje: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−   prace pomiarowe i roboty przygotowawcze,  −   oznakowanie robót,  −   sprawdzenie i ewentualną naprawę podłoża,  −   zakup składników, przygotowanie mieszanki z kruszywa, zgodnie z receptą,  −   dostarczenie mieszanki na miejsce wbudowania,  −   rozłożenie mieszanki,  −   zagęszczenie rozłożonej mieszanki,  −   przeprowadzenie pomiarów i badań laboratoryjnych określonych w specyfikacji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technicznej,  −   utrzymanie podbudowy w czasie robót.  </w:t>
      </w:r>
    </w:p>
    <w:p w:rsidR="00A319B4" w:rsidRPr="005876E9" w:rsidRDefault="00A319B4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9.3. Sposób rozliczenia robót tymczasowych i prac towarzyszących  </w:t>
      </w:r>
    </w:p>
    <w:p w:rsidR="00A319B4" w:rsidRPr="00F37C5F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Cena wykonania robót określonych niniejszą </w:t>
      </w:r>
      <w:r>
        <w:rPr>
          <w:rFonts w:cs="Arial"/>
          <w:sz w:val="22"/>
        </w:rPr>
        <w:t>S</w:t>
      </w:r>
      <w:r w:rsidRPr="00F37C5F">
        <w:rPr>
          <w:rFonts w:cs="Arial"/>
          <w:sz w:val="22"/>
        </w:rPr>
        <w:t xml:space="preserve">ST obejmuje: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 −    roboty tymczasowe, które są potrzebne do wykonania robót podstawowyc</w:t>
      </w:r>
      <w:r>
        <w:rPr>
          <w:rFonts w:cs="Arial"/>
          <w:sz w:val="22"/>
        </w:rPr>
        <w:t xml:space="preserve">h, ale nie są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przekazywane Za</w:t>
      </w:r>
      <w:r w:rsidRPr="00F37C5F">
        <w:rPr>
          <w:rFonts w:cs="Arial"/>
          <w:sz w:val="22"/>
        </w:rPr>
        <w:t xml:space="preserve">mawiającemu i są usuwane po wykonaniu robót podstawowych,       −    prace towarzyszące, które są niezbędne do wykonania robót podstawowych,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niezaliczane do robót tym</w:t>
      </w:r>
      <w:r w:rsidRPr="00F37C5F">
        <w:rPr>
          <w:rFonts w:cs="Arial"/>
          <w:sz w:val="22"/>
        </w:rPr>
        <w:t xml:space="preserve">czasowych, jak geodezyjne wytyczenie robót itd.  </w:t>
      </w:r>
    </w:p>
    <w:p w:rsidR="00A319B4" w:rsidRDefault="00A319B4" w:rsidP="00F37C5F">
      <w:pPr>
        <w:rPr>
          <w:rFonts w:cs="Arial"/>
          <w:b/>
          <w:sz w:val="22"/>
        </w:rPr>
      </w:pPr>
    </w:p>
    <w:p w:rsidR="00A319B4" w:rsidRPr="00116CE3" w:rsidRDefault="00A319B4" w:rsidP="00F37C5F">
      <w:pPr>
        <w:rPr>
          <w:rFonts w:cs="Arial"/>
          <w:b/>
          <w:sz w:val="22"/>
        </w:rPr>
      </w:pPr>
      <w:r w:rsidRPr="00116CE3">
        <w:rPr>
          <w:rFonts w:cs="Arial"/>
          <w:b/>
          <w:sz w:val="22"/>
        </w:rPr>
        <w:t xml:space="preserve">10. PRZEPISY ZWIĄZANE  </w:t>
      </w:r>
    </w:p>
    <w:p w:rsidR="00A319B4" w:rsidRPr="00C1002E" w:rsidRDefault="00A319B4" w:rsidP="00F37C5F">
      <w:pPr>
        <w:rPr>
          <w:rFonts w:cs="Arial"/>
          <w:b/>
          <w:sz w:val="22"/>
        </w:rPr>
      </w:pPr>
      <w:r w:rsidRPr="00116CE3">
        <w:rPr>
          <w:rFonts w:cs="Arial"/>
          <w:b/>
          <w:sz w:val="22"/>
        </w:rPr>
        <w:t xml:space="preserve">10.1. Normy  </w:t>
      </w:r>
    </w:p>
    <w:p w:rsidR="00A319B4" w:rsidRDefault="00A319B4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1.  PN-B-04481 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Grunty budowlane. Badania próbek gruntu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2.</w:t>
      </w:r>
      <w:r>
        <w:rPr>
          <w:rFonts w:cs="Arial"/>
          <w:sz w:val="22"/>
        </w:rPr>
        <w:t xml:space="preserve">  PN-EN 933-8     </w:t>
      </w:r>
      <w:r w:rsidRPr="00F37C5F">
        <w:rPr>
          <w:rFonts w:cs="Arial"/>
          <w:sz w:val="22"/>
        </w:rPr>
        <w:t xml:space="preserve">Badania  geometrycznych  właściwości  kruszyw.  Ocena  zawartości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drobnych  cząstek.  Badanie </w:t>
      </w:r>
      <w:r w:rsidRPr="00F37C5F">
        <w:rPr>
          <w:rFonts w:cs="Arial"/>
          <w:sz w:val="22"/>
        </w:rPr>
        <w:t xml:space="preserve">wskaźnika piaskowego.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3.  BN-68/8931-04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Drogi samochodowe. Pomiar równości nawierzchni planografem i łatą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4.  BN-70/8931-06  Drogi samochodowe. Pomiar ugięć podatnych ugięciomierzem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</w:t>
      </w:r>
      <w:r w:rsidRPr="00F37C5F">
        <w:rPr>
          <w:rFonts w:cs="Arial"/>
          <w:sz w:val="22"/>
        </w:rPr>
        <w:t xml:space="preserve">belkowym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5  PN-EN 13285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Mieszanki niezwiązane - wymagania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6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PN-EN 933-1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Badania  geometrycznych  właściwości  kruszyw  –  Oznaczanie  </w:t>
      </w:r>
      <w:r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składu  ziarnowego  –  Metoda </w:t>
      </w:r>
      <w:r w:rsidRPr="00F37C5F">
        <w:rPr>
          <w:rFonts w:cs="Arial"/>
          <w:sz w:val="22"/>
        </w:rPr>
        <w:t xml:space="preserve">przesiewania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7.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 PN-EN 933-3 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Badania  geometrycznych  właściwości  kruszyw  –  Oznaczanie  </w:t>
      </w:r>
      <w:r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kształtu  ziaren  za  pomocą </w:t>
      </w:r>
      <w:r w:rsidRPr="00F37C5F">
        <w:rPr>
          <w:rFonts w:cs="Arial"/>
          <w:sz w:val="22"/>
        </w:rPr>
        <w:t xml:space="preserve">wskaźnika płaskości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8.  PN-EN 933-4 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Badania  geometrycznych  właściwości  kruszyw  –  Część  4: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>Oz</w:t>
      </w:r>
      <w:r>
        <w:rPr>
          <w:rFonts w:cs="Arial"/>
          <w:sz w:val="22"/>
        </w:rPr>
        <w:t xml:space="preserve">naczanie  kształtu  ziaren  –  </w:t>
      </w:r>
      <w:r w:rsidRPr="00F37C5F">
        <w:rPr>
          <w:rFonts w:cs="Arial"/>
          <w:sz w:val="22"/>
        </w:rPr>
        <w:t xml:space="preserve">Wskaźnik kształtu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9.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 PN-EN 933-5</w:t>
      </w: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 Badania geometrycznych właściwości kruszyw –  Oznaczanie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procentowej zawartości ziaren </w:t>
      </w:r>
      <w:r w:rsidRPr="00F37C5F">
        <w:rPr>
          <w:rFonts w:cs="Arial"/>
          <w:sz w:val="22"/>
        </w:rPr>
        <w:t xml:space="preserve">o powierzchniach powstałych w wyniku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 xml:space="preserve">przekruszenia lub łamania kruszyw grubych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10.PN-EN 933-9 </w:t>
      </w:r>
      <w:r>
        <w:rPr>
          <w:rFonts w:cs="Arial"/>
          <w:sz w:val="22"/>
        </w:rPr>
        <w:t xml:space="preserve">      </w:t>
      </w:r>
      <w:r w:rsidRPr="00F37C5F">
        <w:rPr>
          <w:rFonts w:cs="Arial"/>
          <w:sz w:val="22"/>
        </w:rPr>
        <w:t xml:space="preserve">Badania geometrycznych właściwości kruszyw –  Ocena zawartości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drobnych cząstek –  Ba</w:t>
      </w:r>
      <w:r w:rsidRPr="00F37C5F">
        <w:rPr>
          <w:rFonts w:cs="Arial"/>
          <w:sz w:val="22"/>
        </w:rPr>
        <w:t xml:space="preserve">dania błękitem metylenowym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11. PN-EN 933-8 </w:t>
      </w: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Badania geometrycznych właściwości kruszyw. Część 8: Ocena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zawartości drobnych cząstek.</w:t>
      </w:r>
      <w:r w:rsidRPr="00F37C5F">
        <w:rPr>
          <w:rFonts w:cs="Arial"/>
          <w:sz w:val="22"/>
        </w:rPr>
        <w:t xml:space="preserve"> Badanie wskaźnika piaskowego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12. PN-EN 1097-1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Badania mechanicznych i fizycznych właściwości kruszyw.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Oznaczania odporności na ściera</w:t>
      </w:r>
      <w:r w:rsidRPr="00F37C5F">
        <w:rPr>
          <w:rFonts w:cs="Arial"/>
          <w:sz w:val="22"/>
        </w:rPr>
        <w:t xml:space="preserve">nie (mikro-Deval)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13. PN-EN 1097-2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Badania mechanicznych i fizycznych właściwości kruszyw –  Metody </w:t>
      </w:r>
      <w:r>
        <w:rPr>
          <w:rFonts w:cs="Arial"/>
          <w:sz w:val="22"/>
        </w:rPr>
        <w:t xml:space="preserve">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 xml:space="preserve">oznaczania odporności na rozdrabnianie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14. PN-EN 1367-1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 Badania  właściwości  cieplnych  i  odporności  kruszyw  na  działanie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>czynników  a</w:t>
      </w:r>
      <w:r>
        <w:rPr>
          <w:rFonts w:cs="Arial"/>
          <w:sz w:val="22"/>
        </w:rPr>
        <w:t>tmosferycznych – Część 1:</w:t>
      </w:r>
      <w:r w:rsidRPr="00F37C5F">
        <w:rPr>
          <w:rFonts w:cs="Arial"/>
          <w:sz w:val="22"/>
        </w:rPr>
        <w:t xml:space="preserve">Oznaczanie mrozoodporności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15.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PN-EN 1367-2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Badania  właściwości  cieplnych  i  odporności  kruszyw  na  działanie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czynników  atmosferycz</w:t>
      </w:r>
      <w:r w:rsidRPr="00F37C5F">
        <w:rPr>
          <w:rFonts w:cs="Arial"/>
          <w:sz w:val="22"/>
        </w:rPr>
        <w:t xml:space="preserve">nych. Badanie w siarczanie magnezu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16. </w:t>
      </w:r>
      <w:r>
        <w:rPr>
          <w:rFonts w:cs="Arial"/>
          <w:sz w:val="22"/>
        </w:rPr>
        <w:t>PN-EN 1367-3    B</w:t>
      </w:r>
      <w:r w:rsidRPr="00F37C5F">
        <w:rPr>
          <w:rFonts w:cs="Arial"/>
          <w:sz w:val="22"/>
        </w:rPr>
        <w:t>adania  właściwości  cieplnych  i  odporności  kruszyw  na  dzia</w:t>
      </w:r>
      <w:r>
        <w:rPr>
          <w:rFonts w:cs="Arial"/>
          <w:sz w:val="22"/>
        </w:rPr>
        <w:t xml:space="preserve">łanie 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czynników  atmosferycz</w:t>
      </w:r>
      <w:r w:rsidRPr="00F37C5F">
        <w:rPr>
          <w:rFonts w:cs="Arial"/>
          <w:sz w:val="22"/>
        </w:rPr>
        <w:t xml:space="preserve"> nych – Część 3: Badanie bazaltowej zgorzeli </w:t>
      </w:r>
    </w:p>
    <w:p w:rsidR="00A319B4" w:rsidRDefault="00A319B4" w:rsidP="00E017F6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 xml:space="preserve">słonecznej metodą gotowania  </w:t>
      </w:r>
      <w:r>
        <w:rPr>
          <w:rFonts w:cs="Arial"/>
          <w:sz w:val="22"/>
        </w:rPr>
        <w:t xml:space="preserve">   17.</w:t>
      </w:r>
      <w:r w:rsidRPr="00F37C5F">
        <w:rPr>
          <w:rFonts w:cs="Arial"/>
          <w:sz w:val="22"/>
        </w:rPr>
        <w:t xml:space="preserve"> PN-EN 1097-6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>Badania  mechanicznych</w:t>
      </w:r>
      <w:r>
        <w:rPr>
          <w:rFonts w:cs="Arial"/>
          <w:sz w:val="22"/>
        </w:rPr>
        <w:t xml:space="preserve"> i </w:t>
      </w:r>
      <w:r w:rsidRPr="00F37C5F">
        <w:rPr>
          <w:rFonts w:cs="Arial"/>
          <w:sz w:val="22"/>
        </w:rPr>
        <w:t>fizycznych</w:t>
      </w:r>
      <w:r>
        <w:rPr>
          <w:rFonts w:cs="Arial"/>
          <w:sz w:val="22"/>
        </w:rPr>
        <w:t xml:space="preserve">  właściwości kruszyw. Część 6:                      </w:t>
      </w:r>
      <w:r w:rsidRPr="00F37C5F">
        <w:rPr>
          <w:rFonts w:cs="Arial"/>
          <w:sz w:val="22"/>
        </w:rPr>
        <w:t xml:space="preserve">  </w:t>
      </w:r>
      <w:r>
        <w:rPr>
          <w:rFonts w:cs="Arial"/>
          <w:sz w:val="22"/>
        </w:rPr>
        <w:t xml:space="preserve">                                                                                                                      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Oznaczanie  gęstości</w:t>
      </w:r>
      <w:r w:rsidRPr="00F37C5F">
        <w:rPr>
          <w:rFonts w:cs="Arial"/>
          <w:sz w:val="22"/>
        </w:rPr>
        <w:t xml:space="preserve"> ziar</w:t>
      </w:r>
      <w:r>
        <w:rPr>
          <w:rFonts w:cs="Arial"/>
          <w:sz w:val="22"/>
        </w:rPr>
        <w:t>e</w:t>
      </w:r>
      <w:r w:rsidRPr="00F37C5F">
        <w:rPr>
          <w:rFonts w:cs="Arial"/>
          <w:sz w:val="22"/>
        </w:rPr>
        <w:t xml:space="preserve">n i nasiąkliwości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18 PN-EN 13286-47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Mieszanki  niezwiązane  i  związane  </w:t>
      </w:r>
      <w:r>
        <w:rPr>
          <w:rFonts w:cs="Arial"/>
          <w:sz w:val="22"/>
        </w:rPr>
        <w:t xml:space="preserve">spoiwem  hydraulicznym.  </w:t>
      </w:r>
    </w:p>
    <w:p w:rsidR="00A319B4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 Część 47:  Metoda  badania </w:t>
      </w:r>
      <w:r w:rsidRPr="00F37C5F">
        <w:rPr>
          <w:rFonts w:cs="Arial"/>
          <w:sz w:val="22"/>
        </w:rPr>
        <w:t xml:space="preserve">wskaźnika CBR, wskaźnika nośności </w:t>
      </w:r>
    </w:p>
    <w:p w:rsidR="00A319B4" w:rsidRPr="00F37C5F" w:rsidRDefault="00A319B4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 xml:space="preserve">natychmiastowej i spęcznienia liniowego  </w:t>
      </w:r>
    </w:p>
    <w:p w:rsidR="00A319B4" w:rsidRPr="00F37C5F" w:rsidRDefault="00A319B4" w:rsidP="00F37C5F">
      <w:pPr>
        <w:rPr>
          <w:rFonts w:cs="Arial"/>
          <w:sz w:val="22"/>
        </w:rPr>
      </w:pPr>
    </w:p>
    <w:p w:rsidR="00A319B4" w:rsidRDefault="00A319B4" w:rsidP="00F37C5F">
      <w:pPr>
        <w:rPr>
          <w:rFonts w:cs="Arial"/>
          <w:b/>
          <w:sz w:val="22"/>
        </w:rPr>
      </w:pPr>
      <w:r w:rsidRPr="00ED0B4A">
        <w:rPr>
          <w:rFonts w:cs="Arial"/>
          <w:b/>
          <w:sz w:val="22"/>
        </w:rPr>
        <w:t xml:space="preserve">10.2. Inne dokumenty </w:t>
      </w:r>
    </w:p>
    <w:p w:rsidR="00A319B4" w:rsidRPr="00ED0B4A" w:rsidRDefault="00A319B4" w:rsidP="00F37C5F">
      <w:pPr>
        <w:rPr>
          <w:rFonts w:cs="Arial"/>
          <w:b/>
          <w:sz w:val="22"/>
        </w:rPr>
      </w:pPr>
      <w:r w:rsidRPr="00ED0B4A">
        <w:rPr>
          <w:rFonts w:cs="Arial"/>
          <w:b/>
          <w:sz w:val="22"/>
        </w:rPr>
        <w:t xml:space="preserve"> </w:t>
      </w:r>
      <w:r w:rsidRPr="00F37C5F">
        <w:rPr>
          <w:rFonts w:cs="Arial"/>
          <w:sz w:val="22"/>
        </w:rPr>
        <w:t>19</w:t>
      </w:r>
      <w:r>
        <w:rPr>
          <w:rFonts w:cs="Arial"/>
          <w:sz w:val="22"/>
        </w:rPr>
        <w:t xml:space="preserve">. </w:t>
      </w:r>
      <w:r w:rsidRPr="00F37C5F">
        <w:rPr>
          <w:rFonts w:cs="Arial"/>
          <w:sz w:val="22"/>
        </w:rPr>
        <w:t xml:space="preserve">Mieszanki niezwiązane dla dróg krajowych WT-4 2010 Wymagania  </w:t>
      </w:r>
    </w:p>
    <w:p w:rsidR="00A319B4" w:rsidRPr="00F37C5F" w:rsidRDefault="00A319B4" w:rsidP="00CA409A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20. Katalog typowych konstrukcji nawierzchni podatnych i półsztywnych, IBDiM - Warszawa 1997.  </w:t>
      </w:r>
    </w:p>
    <w:sectPr w:rsidR="00A319B4" w:rsidRPr="00F37C5F" w:rsidSect="00DA13D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9B4" w:rsidRDefault="00A319B4" w:rsidP="004F5567">
      <w:r>
        <w:separator/>
      </w:r>
    </w:p>
  </w:endnote>
  <w:endnote w:type="continuationSeparator" w:id="0">
    <w:p w:rsidR="00A319B4" w:rsidRDefault="00A319B4" w:rsidP="004F5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B4" w:rsidRDefault="00A319B4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319B4" w:rsidRDefault="00A319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9B4" w:rsidRDefault="00A319B4" w:rsidP="004F5567">
      <w:r>
        <w:separator/>
      </w:r>
    </w:p>
  </w:footnote>
  <w:footnote w:type="continuationSeparator" w:id="0">
    <w:p w:rsidR="00A319B4" w:rsidRDefault="00A319B4" w:rsidP="004F5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B4" w:rsidRDefault="00A319B4" w:rsidP="004F5567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 w:rsidRPr="004F5567">
      <w:rPr>
        <w:rFonts w:ascii="Cambria" w:hAnsi="Cambria"/>
        <w:sz w:val="16"/>
        <w:szCs w:val="16"/>
      </w:rPr>
      <w:t>D-04</w:t>
    </w:r>
    <w:r>
      <w:rPr>
        <w:rFonts w:ascii="Cambria" w:hAnsi="Cambria"/>
        <w:sz w:val="16"/>
        <w:szCs w:val="16"/>
      </w:rPr>
      <w:t>.04.02 PODBUDOWA Z KRUSZYWA ŁAMANEGO STABILIZOWANEGO MECHANICZNIE</w:t>
    </w:r>
  </w:p>
  <w:p w:rsidR="00A319B4" w:rsidRDefault="00A319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C5F"/>
    <w:rsid w:val="00017AC6"/>
    <w:rsid w:val="000A2AED"/>
    <w:rsid w:val="000B0357"/>
    <w:rsid w:val="000C49F3"/>
    <w:rsid w:val="000E4128"/>
    <w:rsid w:val="000E7A14"/>
    <w:rsid w:val="0010648F"/>
    <w:rsid w:val="0011388B"/>
    <w:rsid w:val="00116CE3"/>
    <w:rsid w:val="001378A9"/>
    <w:rsid w:val="00140847"/>
    <w:rsid w:val="001A07A0"/>
    <w:rsid w:val="001C663E"/>
    <w:rsid w:val="001D3435"/>
    <w:rsid w:val="002135FA"/>
    <w:rsid w:val="00241946"/>
    <w:rsid w:val="002504D1"/>
    <w:rsid w:val="00251A1D"/>
    <w:rsid w:val="002600BE"/>
    <w:rsid w:val="00296808"/>
    <w:rsid w:val="002C4087"/>
    <w:rsid w:val="002E2283"/>
    <w:rsid w:val="002E745A"/>
    <w:rsid w:val="002E77F7"/>
    <w:rsid w:val="00302C17"/>
    <w:rsid w:val="00316E1F"/>
    <w:rsid w:val="00333DD8"/>
    <w:rsid w:val="00393AD7"/>
    <w:rsid w:val="003B40DD"/>
    <w:rsid w:val="003C6850"/>
    <w:rsid w:val="003E586B"/>
    <w:rsid w:val="003F0CB2"/>
    <w:rsid w:val="004266BF"/>
    <w:rsid w:val="00465791"/>
    <w:rsid w:val="004B259A"/>
    <w:rsid w:val="004B37D4"/>
    <w:rsid w:val="004B59AC"/>
    <w:rsid w:val="004C0D48"/>
    <w:rsid w:val="004C14E0"/>
    <w:rsid w:val="004D2335"/>
    <w:rsid w:val="004D29D9"/>
    <w:rsid w:val="004F5567"/>
    <w:rsid w:val="0050441D"/>
    <w:rsid w:val="005116CD"/>
    <w:rsid w:val="0053095D"/>
    <w:rsid w:val="005320CE"/>
    <w:rsid w:val="00536EEB"/>
    <w:rsid w:val="00556576"/>
    <w:rsid w:val="00567233"/>
    <w:rsid w:val="00576518"/>
    <w:rsid w:val="005876E9"/>
    <w:rsid w:val="005920B0"/>
    <w:rsid w:val="00595591"/>
    <w:rsid w:val="00597E64"/>
    <w:rsid w:val="005A3DB0"/>
    <w:rsid w:val="005D0964"/>
    <w:rsid w:val="005D2296"/>
    <w:rsid w:val="005D4650"/>
    <w:rsid w:val="005D6D0D"/>
    <w:rsid w:val="005F5803"/>
    <w:rsid w:val="00600C36"/>
    <w:rsid w:val="00606C3B"/>
    <w:rsid w:val="006119EB"/>
    <w:rsid w:val="006159B6"/>
    <w:rsid w:val="00635128"/>
    <w:rsid w:val="00641548"/>
    <w:rsid w:val="006622D0"/>
    <w:rsid w:val="00662DBC"/>
    <w:rsid w:val="00694404"/>
    <w:rsid w:val="00695F8E"/>
    <w:rsid w:val="006C062F"/>
    <w:rsid w:val="006C11CB"/>
    <w:rsid w:val="006C3533"/>
    <w:rsid w:val="006D1A1C"/>
    <w:rsid w:val="006D469B"/>
    <w:rsid w:val="006F39BE"/>
    <w:rsid w:val="00734AF2"/>
    <w:rsid w:val="00760A39"/>
    <w:rsid w:val="00771A45"/>
    <w:rsid w:val="00795F40"/>
    <w:rsid w:val="007A2C0A"/>
    <w:rsid w:val="007A4D8F"/>
    <w:rsid w:val="007B3405"/>
    <w:rsid w:val="007B5196"/>
    <w:rsid w:val="007B61A6"/>
    <w:rsid w:val="007E4470"/>
    <w:rsid w:val="007F2DB8"/>
    <w:rsid w:val="0080542F"/>
    <w:rsid w:val="00816549"/>
    <w:rsid w:val="00830897"/>
    <w:rsid w:val="008A2BF7"/>
    <w:rsid w:val="008B69CF"/>
    <w:rsid w:val="008D0D72"/>
    <w:rsid w:val="008D43D0"/>
    <w:rsid w:val="008D6D45"/>
    <w:rsid w:val="008D72C7"/>
    <w:rsid w:val="0090499C"/>
    <w:rsid w:val="00926B80"/>
    <w:rsid w:val="00932F1A"/>
    <w:rsid w:val="0094268A"/>
    <w:rsid w:val="00943D0B"/>
    <w:rsid w:val="00950B68"/>
    <w:rsid w:val="009C36A9"/>
    <w:rsid w:val="009E5C63"/>
    <w:rsid w:val="00A0167A"/>
    <w:rsid w:val="00A06AA9"/>
    <w:rsid w:val="00A319B4"/>
    <w:rsid w:val="00A343E2"/>
    <w:rsid w:val="00A45A82"/>
    <w:rsid w:val="00A56F35"/>
    <w:rsid w:val="00A57327"/>
    <w:rsid w:val="00A97C58"/>
    <w:rsid w:val="00B02251"/>
    <w:rsid w:val="00B434F6"/>
    <w:rsid w:val="00B64FBF"/>
    <w:rsid w:val="00B75C90"/>
    <w:rsid w:val="00BB01CC"/>
    <w:rsid w:val="00BC04EE"/>
    <w:rsid w:val="00BC6A3E"/>
    <w:rsid w:val="00BE5241"/>
    <w:rsid w:val="00BE54C4"/>
    <w:rsid w:val="00C1002E"/>
    <w:rsid w:val="00C25648"/>
    <w:rsid w:val="00C310B4"/>
    <w:rsid w:val="00C5592A"/>
    <w:rsid w:val="00C6450C"/>
    <w:rsid w:val="00C83FD3"/>
    <w:rsid w:val="00CA409A"/>
    <w:rsid w:val="00CB7D23"/>
    <w:rsid w:val="00CC07B1"/>
    <w:rsid w:val="00CC4FB2"/>
    <w:rsid w:val="00CD3138"/>
    <w:rsid w:val="00CE5B5D"/>
    <w:rsid w:val="00D02DD5"/>
    <w:rsid w:val="00D0552F"/>
    <w:rsid w:val="00D14E99"/>
    <w:rsid w:val="00D664F9"/>
    <w:rsid w:val="00D702FE"/>
    <w:rsid w:val="00D90C63"/>
    <w:rsid w:val="00DA13D6"/>
    <w:rsid w:val="00DB1070"/>
    <w:rsid w:val="00DC62FA"/>
    <w:rsid w:val="00DC7E23"/>
    <w:rsid w:val="00DE23B4"/>
    <w:rsid w:val="00DE5539"/>
    <w:rsid w:val="00E017F6"/>
    <w:rsid w:val="00E02EE6"/>
    <w:rsid w:val="00E210B2"/>
    <w:rsid w:val="00E2697C"/>
    <w:rsid w:val="00E27BE1"/>
    <w:rsid w:val="00E318C5"/>
    <w:rsid w:val="00E35502"/>
    <w:rsid w:val="00E438EE"/>
    <w:rsid w:val="00E453B1"/>
    <w:rsid w:val="00E5623D"/>
    <w:rsid w:val="00E56308"/>
    <w:rsid w:val="00E76987"/>
    <w:rsid w:val="00E76C35"/>
    <w:rsid w:val="00EA1F03"/>
    <w:rsid w:val="00EA3C64"/>
    <w:rsid w:val="00EC07DE"/>
    <w:rsid w:val="00ED0B4A"/>
    <w:rsid w:val="00EE20F0"/>
    <w:rsid w:val="00F37C5F"/>
    <w:rsid w:val="00F47921"/>
    <w:rsid w:val="00F6406D"/>
    <w:rsid w:val="00FA53E5"/>
    <w:rsid w:val="00FC14B8"/>
    <w:rsid w:val="00FC3DD2"/>
    <w:rsid w:val="00FD4B46"/>
    <w:rsid w:val="00FE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C64"/>
    <w:rPr>
      <w:rFonts w:ascii="Arial" w:hAnsi="Arial"/>
      <w:sz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A3C64"/>
    <w:rPr>
      <w:rFonts w:ascii="Arial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4F55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67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uiPriority w:val="99"/>
    <w:rsid w:val="004F55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F5567"/>
    <w:rPr>
      <w:rFonts w:ascii="Arial" w:hAnsi="Arial" w:cs="Times New Roman"/>
      <w:sz w:val="20"/>
    </w:rPr>
  </w:style>
  <w:style w:type="table" w:styleId="TableGrid">
    <w:name w:val="Table Grid"/>
    <w:basedOn w:val="TableNormal"/>
    <w:uiPriority w:val="99"/>
    <w:rsid w:val="00BB01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437</TotalTime>
  <Pages>12</Pages>
  <Words>3593</Words>
  <Characters>21563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D-04.04.02 PODBUDOWA Z KRUSZYWA ŁAMANEGO STABILIZOWANEGO MECHANICZNIE</dc:title>
  <dc:subject/>
  <dc:creator>STANLEY</dc:creator>
  <cp:keywords/>
  <dc:description/>
  <cp:lastModifiedBy>m</cp:lastModifiedBy>
  <cp:revision>24</cp:revision>
  <cp:lastPrinted>2015-04-12T17:56:00Z</cp:lastPrinted>
  <dcterms:created xsi:type="dcterms:W3CDTF">2015-04-09T12:22:00Z</dcterms:created>
  <dcterms:modified xsi:type="dcterms:W3CDTF">2015-04-16T10:58:00Z</dcterms:modified>
</cp:coreProperties>
</file>