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5" w:type="dxa"/>
        <w:tblInd w:w="-1" w:type="dxa"/>
        <w:tblCellMar>
          <w:left w:w="0" w:type="dxa"/>
          <w:right w:w="0" w:type="dxa"/>
        </w:tblCellMar>
        <w:tblLook w:val="04A0" w:firstRow="1" w:lastRow="0" w:firstColumn="1" w:lastColumn="0" w:noHBand="0" w:noVBand="1"/>
      </w:tblPr>
      <w:tblGrid>
        <w:gridCol w:w="1843"/>
        <w:gridCol w:w="2693"/>
        <w:gridCol w:w="2058"/>
        <w:gridCol w:w="2621"/>
      </w:tblGrid>
      <w:tr w:rsidR="00417A45" w:rsidRPr="00A45DC4" w:rsidTr="00417A45">
        <w:trPr>
          <w:trHeight w:val="987"/>
        </w:trPr>
        <w:tc>
          <w:tcPr>
            <w:tcW w:w="1843" w:type="dxa"/>
            <w:tcMar>
              <w:left w:w="0" w:type="dxa"/>
              <w:right w:w="0" w:type="dxa"/>
            </w:tcMar>
          </w:tcPr>
          <w:p w:rsidR="00417A45" w:rsidRPr="00A45DC4" w:rsidRDefault="00417A45" w:rsidP="003E2758">
            <w:pPr>
              <w:spacing w:after="0"/>
              <w:jc w:val="both"/>
              <w:rPr>
                <w:rFonts w:eastAsia="Times New Roman"/>
                <w:noProof/>
                <w:sz w:val="23"/>
                <w:szCs w:val="23"/>
                <w:lang w:eastAsia="pl-PL"/>
              </w:rPr>
            </w:pPr>
            <w:r w:rsidRPr="00A45DC4">
              <w:rPr>
                <w:rFonts w:eastAsia="Times New Roman"/>
                <w:noProof/>
                <w:sz w:val="23"/>
                <w:szCs w:val="23"/>
                <w:lang w:eastAsia="pl-PL"/>
              </w:rPr>
              <w:drawing>
                <wp:inline distT="0" distB="0" distL="0" distR="0" wp14:anchorId="07B3776D" wp14:editId="0AF93E3C">
                  <wp:extent cx="10287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rsidR="00417A45" w:rsidRPr="00A45DC4" w:rsidRDefault="00417A45" w:rsidP="003E2758">
            <w:pPr>
              <w:spacing w:after="0"/>
              <w:ind w:left="48"/>
              <w:jc w:val="center"/>
              <w:rPr>
                <w:rFonts w:eastAsia="Times New Roman"/>
                <w:noProof/>
                <w:sz w:val="23"/>
                <w:szCs w:val="23"/>
                <w:lang w:eastAsia="pl-PL"/>
              </w:rPr>
            </w:pPr>
            <w:r w:rsidRPr="00A45DC4">
              <w:rPr>
                <w:rFonts w:eastAsia="Times New Roman"/>
                <w:noProof/>
                <w:sz w:val="23"/>
                <w:szCs w:val="23"/>
                <w:lang w:eastAsia="pl-PL"/>
              </w:rPr>
              <w:drawing>
                <wp:inline distT="0" distB="0" distL="0" distR="0" wp14:anchorId="16D528AA" wp14:editId="0A85C353">
                  <wp:extent cx="1409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rsidR="00417A45" w:rsidRPr="00A45DC4" w:rsidRDefault="00417A45" w:rsidP="003E2758">
            <w:pPr>
              <w:spacing w:after="0"/>
              <w:ind w:left="-1"/>
              <w:jc w:val="center"/>
              <w:rPr>
                <w:rFonts w:eastAsia="Times New Roman"/>
                <w:noProof/>
                <w:sz w:val="23"/>
                <w:szCs w:val="23"/>
                <w:lang w:eastAsia="pl-PL"/>
              </w:rPr>
            </w:pPr>
            <w:r w:rsidRPr="00A45DC4">
              <w:rPr>
                <w:rFonts w:eastAsia="Times New Roman"/>
                <w:noProof/>
                <w:sz w:val="23"/>
                <w:szCs w:val="23"/>
                <w:lang w:eastAsia="pl-PL"/>
              </w:rPr>
              <w:drawing>
                <wp:inline distT="0" distB="0" distL="0" distR="0" wp14:anchorId="48A2F828" wp14:editId="2F16E86E">
                  <wp:extent cx="962025" cy="438150"/>
                  <wp:effectExtent l="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621" w:type="dxa"/>
            <w:tcMar>
              <w:left w:w="0" w:type="dxa"/>
              <w:right w:w="0" w:type="dxa"/>
            </w:tcMar>
          </w:tcPr>
          <w:p w:rsidR="00417A45" w:rsidRPr="00A45DC4" w:rsidRDefault="00417A45" w:rsidP="003E2758">
            <w:pPr>
              <w:spacing w:after="0"/>
              <w:ind w:right="-1"/>
              <w:jc w:val="right"/>
              <w:rPr>
                <w:rFonts w:eastAsia="Times New Roman"/>
                <w:noProof/>
                <w:sz w:val="23"/>
                <w:szCs w:val="23"/>
                <w:lang w:eastAsia="pl-PL"/>
              </w:rPr>
            </w:pPr>
            <w:r w:rsidRPr="00A45DC4">
              <w:rPr>
                <w:rFonts w:eastAsia="Times New Roman"/>
                <w:noProof/>
                <w:sz w:val="23"/>
                <w:szCs w:val="23"/>
                <w:lang w:eastAsia="pl-PL"/>
              </w:rPr>
              <w:drawing>
                <wp:inline distT="0" distB="0" distL="0" distR="0" wp14:anchorId="1CDF8BE5" wp14:editId="4706920E">
                  <wp:extent cx="1457325" cy="43815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9701B4" w:rsidRPr="00A45DC4" w:rsidRDefault="009701B4" w:rsidP="000B6849">
      <w:pPr>
        <w:pBdr>
          <w:bottom w:val="single" w:sz="6" w:space="1" w:color="auto"/>
        </w:pBdr>
        <w:spacing w:after="0" w:line="240" w:lineRule="auto"/>
        <w:rPr>
          <w:rFonts w:ascii="Arial" w:eastAsia="Times New Roman" w:hAnsi="Arial" w:cs="Arial"/>
          <w:vanish/>
          <w:sz w:val="23"/>
          <w:szCs w:val="23"/>
          <w:lang w:eastAsia="pl-PL"/>
        </w:rPr>
      </w:pPr>
      <w:r w:rsidRPr="00A45DC4">
        <w:rPr>
          <w:rFonts w:ascii="Arial" w:eastAsia="Times New Roman" w:hAnsi="Arial" w:cs="Arial"/>
          <w:vanish/>
          <w:sz w:val="23"/>
          <w:szCs w:val="23"/>
          <w:lang w:eastAsia="pl-PL"/>
        </w:rPr>
        <w:t>Początek formularza</w:t>
      </w:r>
    </w:p>
    <w:p w:rsidR="009701B4" w:rsidRPr="00A45DC4" w:rsidRDefault="00417A45" w:rsidP="000B6849">
      <w:pPr>
        <w:spacing w:after="0" w:line="240" w:lineRule="auto"/>
        <w:jc w:val="right"/>
        <w:rPr>
          <w:rFonts w:ascii="Times New Roman" w:eastAsia="Times New Roman" w:hAnsi="Times New Roman" w:cs="Times New Roman"/>
          <w:sz w:val="23"/>
          <w:szCs w:val="23"/>
        </w:rPr>
      </w:pPr>
      <w:r w:rsidRPr="00A45DC4">
        <w:rPr>
          <w:rFonts w:ascii="Times New Roman" w:eastAsia="Times New Roman" w:hAnsi="Times New Roman" w:cs="Times New Roman"/>
          <w:sz w:val="23"/>
          <w:szCs w:val="23"/>
        </w:rPr>
        <w:t>Jędrzejów, dnia 1</w:t>
      </w:r>
      <w:r w:rsidR="00A45DC4" w:rsidRPr="00A45DC4">
        <w:rPr>
          <w:rFonts w:ascii="Times New Roman" w:eastAsia="Times New Roman" w:hAnsi="Times New Roman" w:cs="Times New Roman"/>
          <w:sz w:val="23"/>
          <w:szCs w:val="23"/>
        </w:rPr>
        <w:t>4</w:t>
      </w:r>
      <w:r w:rsidR="009701B4" w:rsidRPr="00A45DC4">
        <w:rPr>
          <w:rFonts w:ascii="Times New Roman" w:eastAsia="Times New Roman" w:hAnsi="Times New Roman" w:cs="Times New Roman"/>
          <w:sz w:val="23"/>
          <w:szCs w:val="23"/>
        </w:rPr>
        <w:t>.0</w:t>
      </w:r>
      <w:r w:rsidRPr="00A45DC4">
        <w:rPr>
          <w:rFonts w:ascii="Times New Roman" w:eastAsia="Times New Roman" w:hAnsi="Times New Roman" w:cs="Times New Roman"/>
          <w:sz w:val="23"/>
          <w:szCs w:val="23"/>
        </w:rPr>
        <w:t>3</w:t>
      </w:r>
      <w:r w:rsidR="009701B4" w:rsidRPr="00A45DC4">
        <w:rPr>
          <w:rFonts w:ascii="Times New Roman" w:eastAsia="Times New Roman" w:hAnsi="Times New Roman" w:cs="Times New Roman"/>
          <w:sz w:val="23"/>
          <w:szCs w:val="23"/>
        </w:rPr>
        <w:t>.2018 r.</w:t>
      </w:r>
    </w:p>
    <w:p w:rsidR="009701B4" w:rsidRPr="00A45DC4" w:rsidRDefault="00417A45" w:rsidP="000B6849">
      <w:pPr>
        <w:spacing w:after="0" w:line="240" w:lineRule="auto"/>
        <w:jc w:val="both"/>
        <w:rPr>
          <w:rFonts w:ascii="Times New Roman" w:eastAsia="Times New Roman" w:hAnsi="Times New Roman" w:cs="Times New Roman"/>
          <w:sz w:val="23"/>
          <w:szCs w:val="23"/>
        </w:rPr>
      </w:pPr>
      <w:r w:rsidRPr="00A45DC4">
        <w:rPr>
          <w:rFonts w:ascii="Times New Roman" w:eastAsia="Times New Roman" w:hAnsi="Times New Roman" w:cs="Times New Roman"/>
          <w:sz w:val="23"/>
          <w:szCs w:val="23"/>
        </w:rPr>
        <w:t>OKSO.272.3</w:t>
      </w:r>
      <w:r w:rsidR="009701B4" w:rsidRPr="00A45DC4">
        <w:rPr>
          <w:rFonts w:ascii="Times New Roman" w:eastAsia="Times New Roman" w:hAnsi="Times New Roman" w:cs="Times New Roman"/>
          <w:sz w:val="23"/>
          <w:szCs w:val="23"/>
        </w:rPr>
        <w:t>.2018</w:t>
      </w:r>
    </w:p>
    <w:p w:rsidR="009701B4" w:rsidRPr="00A45DC4" w:rsidRDefault="009701B4" w:rsidP="000B6849">
      <w:pPr>
        <w:spacing w:after="0" w:line="240" w:lineRule="auto"/>
        <w:ind w:firstLine="5"/>
        <w:jc w:val="right"/>
        <w:rPr>
          <w:rFonts w:ascii="Times New Roman" w:eastAsia="Times New Roman" w:hAnsi="Times New Roman" w:cs="Times New Roman"/>
          <w:b/>
          <w:bCs/>
          <w:sz w:val="23"/>
          <w:szCs w:val="23"/>
        </w:rPr>
      </w:pPr>
      <w:r w:rsidRPr="00A45DC4">
        <w:rPr>
          <w:rFonts w:ascii="Times New Roman" w:eastAsia="Times New Roman" w:hAnsi="Times New Roman" w:cs="Times New Roman"/>
          <w:b/>
          <w:bCs/>
          <w:sz w:val="23"/>
          <w:szCs w:val="23"/>
        </w:rPr>
        <w:t>Wykonawcy/uczestnicy postępowania ( wszyscy )</w:t>
      </w:r>
    </w:p>
    <w:p w:rsidR="009701B4" w:rsidRPr="00A45DC4" w:rsidRDefault="009701B4" w:rsidP="000B6849">
      <w:pPr>
        <w:spacing w:after="0" w:line="240" w:lineRule="auto"/>
        <w:ind w:left="4248" w:firstLine="1281"/>
        <w:rPr>
          <w:rFonts w:ascii="Times New Roman" w:eastAsia="Times New Roman" w:hAnsi="Times New Roman" w:cs="Times New Roman"/>
          <w:b/>
          <w:bCs/>
          <w:sz w:val="23"/>
          <w:szCs w:val="23"/>
        </w:rPr>
      </w:pPr>
    </w:p>
    <w:p w:rsidR="009701B4" w:rsidRPr="00A45DC4" w:rsidRDefault="009701B4" w:rsidP="000B6849">
      <w:pPr>
        <w:spacing w:after="0" w:line="240" w:lineRule="auto"/>
        <w:jc w:val="right"/>
        <w:rPr>
          <w:rFonts w:ascii="Times New Roman" w:eastAsia="Times New Roman" w:hAnsi="Times New Roman" w:cs="Times New Roman"/>
          <w:b/>
          <w:bCs/>
          <w:sz w:val="23"/>
          <w:szCs w:val="23"/>
        </w:rPr>
      </w:pPr>
      <w:r w:rsidRPr="00A45DC4">
        <w:rPr>
          <w:rFonts w:ascii="Times New Roman" w:eastAsia="Times New Roman" w:hAnsi="Times New Roman" w:cs="Times New Roman"/>
          <w:b/>
          <w:bCs/>
          <w:sz w:val="23"/>
          <w:szCs w:val="23"/>
        </w:rPr>
        <w:t>Wyjaśnienia do treści SIWZ</w:t>
      </w:r>
    </w:p>
    <w:p w:rsidR="000A60D4" w:rsidRPr="00A45DC4" w:rsidRDefault="000A60D4" w:rsidP="000B6849">
      <w:pPr>
        <w:spacing w:after="0" w:line="240" w:lineRule="auto"/>
        <w:jc w:val="right"/>
        <w:rPr>
          <w:rFonts w:ascii="Times New Roman" w:eastAsia="Times New Roman" w:hAnsi="Times New Roman" w:cs="Times New Roman"/>
          <w:b/>
          <w:bCs/>
          <w:sz w:val="23"/>
          <w:szCs w:val="23"/>
        </w:rPr>
      </w:pPr>
      <w:r w:rsidRPr="00A45DC4">
        <w:rPr>
          <w:rFonts w:ascii="Times New Roman" w:eastAsia="Times New Roman" w:hAnsi="Times New Roman" w:cs="Times New Roman"/>
          <w:b/>
          <w:bCs/>
          <w:sz w:val="23"/>
          <w:szCs w:val="23"/>
        </w:rPr>
        <w:t>Zmiana SIWZ</w:t>
      </w:r>
    </w:p>
    <w:p w:rsidR="009701B4" w:rsidRPr="00A45DC4" w:rsidRDefault="009701B4" w:rsidP="000B6849">
      <w:pPr>
        <w:spacing w:after="0" w:line="240" w:lineRule="auto"/>
        <w:jc w:val="right"/>
        <w:rPr>
          <w:rFonts w:ascii="Times New Roman" w:eastAsia="Times New Roman" w:hAnsi="Times New Roman" w:cs="Times New Roman"/>
          <w:b/>
          <w:bCs/>
          <w:sz w:val="23"/>
          <w:szCs w:val="23"/>
        </w:rPr>
      </w:pPr>
    </w:p>
    <w:p w:rsidR="00417A45" w:rsidRPr="00A45DC4" w:rsidRDefault="009701B4" w:rsidP="000B6849">
      <w:pPr>
        <w:autoSpaceDE w:val="0"/>
        <w:autoSpaceDN w:val="0"/>
        <w:adjustRightInd w:val="0"/>
        <w:spacing w:after="0" w:line="240" w:lineRule="auto"/>
        <w:ind w:left="709" w:hanging="709"/>
        <w:jc w:val="both"/>
        <w:rPr>
          <w:rFonts w:ascii="Times New Roman" w:eastAsia="Times New Roman" w:hAnsi="Times New Roman" w:cs="Times New Roman"/>
          <w:b/>
          <w:bCs/>
          <w:sz w:val="23"/>
          <w:szCs w:val="23"/>
        </w:rPr>
      </w:pPr>
      <w:r w:rsidRPr="00A45DC4">
        <w:rPr>
          <w:rFonts w:ascii="Times New Roman" w:eastAsia="Times New Roman" w:hAnsi="Times New Roman" w:cs="Times New Roman"/>
          <w:b/>
          <w:bCs/>
          <w:sz w:val="23"/>
          <w:szCs w:val="23"/>
        </w:rPr>
        <w:t xml:space="preserve">Dotyczy postępowania: </w:t>
      </w:r>
      <w:r w:rsidR="00417A45" w:rsidRPr="00A45DC4">
        <w:rPr>
          <w:rFonts w:ascii="Times New Roman" w:eastAsia="Calibri" w:hAnsi="Times New Roman" w:cs="Times New Roman"/>
          <w:b/>
          <w:bCs/>
          <w:sz w:val="23"/>
          <w:szCs w:val="23"/>
        </w:rPr>
        <w:t>PRZEBUDOWA SIECI KOMPUTEROWEJ W PRACOWNIACH INFORMATYCZNYCH ORAZ UTWORZENIE PRACOWNI OZE</w:t>
      </w:r>
      <w:r w:rsidR="00417A45" w:rsidRPr="00A45DC4">
        <w:rPr>
          <w:rFonts w:ascii="Times New Roman" w:eastAsia="Times New Roman" w:hAnsi="Times New Roman" w:cs="Times New Roman"/>
          <w:b/>
          <w:bCs/>
          <w:sz w:val="23"/>
          <w:szCs w:val="23"/>
        </w:rPr>
        <w:t xml:space="preserve"> </w:t>
      </w:r>
    </w:p>
    <w:p w:rsidR="00417A45" w:rsidRPr="00A45DC4" w:rsidRDefault="00417A45" w:rsidP="000B6849">
      <w:pPr>
        <w:autoSpaceDE w:val="0"/>
        <w:autoSpaceDN w:val="0"/>
        <w:adjustRightInd w:val="0"/>
        <w:spacing w:after="0" w:line="240" w:lineRule="auto"/>
        <w:ind w:left="709" w:hanging="709"/>
        <w:jc w:val="both"/>
        <w:rPr>
          <w:rFonts w:ascii="Times New Roman" w:eastAsia="Times New Roman" w:hAnsi="Times New Roman" w:cs="Times New Roman"/>
          <w:bCs/>
          <w:sz w:val="23"/>
          <w:szCs w:val="23"/>
        </w:rPr>
      </w:pPr>
      <w:r w:rsidRPr="00A45DC4">
        <w:rPr>
          <w:rFonts w:ascii="Times New Roman" w:eastAsia="Times New Roman" w:hAnsi="Times New Roman" w:cs="Times New Roman"/>
          <w:bCs/>
          <w:sz w:val="23"/>
          <w:szCs w:val="23"/>
        </w:rPr>
        <w:t>realizowanego w ramach przedsięwzięcia  pn.</w:t>
      </w:r>
    </w:p>
    <w:p w:rsidR="009701B4" w:rsidRPr="00A45DC4" w:rsidRDefault="009701B4" w:rsidP="00417A45">
      <w:pPr>
        <w:autoSpaceDE w:val="0"/>
        <w:autoSpaceDN w:val="0"/>
        <w:adjustRightInd w:val="0"/>
        <w:spacing w:after="0" w:line="240" w:lineRule="auto"/>
        <w:ind w:left="709"/>
        <w:jc w:val="both"/>
        <w:rPr>
          <w:rFonts w:ascii="Times New Roman" w:eastAsia="Times New Roman" w:hAnsi="Times New Roman" w:cs="Times New Roman"/>
          <w:b/>
          <w:bCs/>
          <w:sz w:val="23"/>
          <w:szCs w:val="23"/>
        </w:rPr>
      </w:pPr>
      <w:r w:rsidRPr="00A45DC4">
        <w:rPr>
          <w:rFonts w:ascii="Times New Roman" w:eastAsia="Times New Roman" w:hAnsi="Times New Roman" w:cs="Times New Roman"/>
          <w:b/>
          <w:bCs/>
          <w:sz w:val="23"/>
          <w:szCs w:val="23"/>
        </w:rPr>
        <w:t>PRZEBUDOWA I MODERNIZA</w:t>
      </w:r>
      <w:r w:rsidR="00417A45" w:rsidRPr="00A45DC4">
        <w:rPr>
          <w:rFonts w:ascii="Times New Roman" w:eastAsia="Times New Roman" w:hAnsi="Times New Roman" w:cs="Times New Roman"/>
          <w:b/>
          <w:bCs/>
          <w:sz w:val="23"/>
          <w:szCs w:val="23"/>
        </w:rPr>
        <w:t>CJA KOMPLEKSU S</w:t>
      </w:r>
      <w:bookmarkStart w:id="0" w:name="_GoBack"/>
      <w:bookmarkEnd w:id="0"/>
      <w:r w:rsidR="00417A45" w:rsidRPr="00A45DC4">
        <w:rPr>
          <w:rFonts w:ascii="Times New Roman" w:eastAsia="Times New Roman" w:hAnsi="Times New Roman" w:cs="Times New Roman"/>
          <w:b/>
          <w:bCs/>
          <w:sz w:val="23"/>
          <w:szCs w:val="23"/>
        </w:rPr>
        <w:t>PORTOWEGO WRAZ Z </w:t>
      </w:r>
      <w:r w:rsidRPr="00A45DC4">
        <w:rPr>
          <w:rFonts w:ascii="Times New Roman" w:eastAsia="Times New Roman" w:hAnsi="Times New Roman" w:cs="Times New Roman"/>
          <w:b/>
          <w:bCs/>
          <w:sz w:val="23"/>
          <w:szCs w:val="23"/>
        </w:rPr>
        <w:t>WYPOSAŻENIEM PRACOWNI DYDAKTYCZNYCH W ZESPOLE SZKÓŁ PONADGIMNAZJALNYCH NR 2 W JĘDRZEJOWIE.</w:t>
      </w:r>
    </w:p>
    <w:p w:rsidR="007A1E37" w:rsidRPr="00A45DC4" w:rsidRDefault="007A1E37" w:rsidP="000B6849">
      <w:pPr>
        <w:spacing w:after="0" w:line="240" w:lineRule="auto"/>
        <w:jc w:val="both"/>
        <w:rPr>
          <w:rFonts w:ascii="Times New Roman" w:eastAsia="Calibri" w:hAnsi="Times New Roman" w:cs="Times New Roman"/>
          <w:b/>
          <w:bCs/>
          <w:sz w:val="23"/>
          <w:szCs w:val="23"/>
        </w:rPr>
      </w:pPr>
    </w:p>
    <w:p w:rsidR="000A60D4" w:rsidRPr="00A45DC4" w:rsidRDefault="000A60D4" w:rsidP="000A60D4">
      <w:pPr>
        <w:spacing w:after="0" w:line="240" w:lineRule="auto"/>
        <w:ind w:firstLine="708"/>
        <w:contextualSpacing/>
        <w:jc w:val="both"/>
        <w:rPr>
          <w:rFonts w:ascii="Times New Roman" w:eastAsia="Times New Roman" w:hAnsi="Times New Roman" w:cs="Times New Roman"/>
          <w:sz w:val="23"/>
          <w:szCs w:val="23"/>
        </w:rPr>
      </w:pPr>
      <w:r w:rsidRPr="00A45DC4">
        <w:rPr>
          <w:rFonts w:ascii="Times New Roman" w:eastAsia="Times New Roman" w:hAnsi="Times New Roman" w:cs="Times New Roman"/>
          <w:sz w:val="23"/>
          <w:szCs w:val="23"/>
        </w:rPr>
        <w:t>Zamawiający - Powiat Jędrzejowski, działając w oparciu o art. 38 ust. 1 i 2 ustawy z dnia 29 stycznia 2004 r. Prawo zamówień publicznych (</w:t>
      </w:r>
      <w:proofErr w:type="spellStart"/>
      <w:r w:rsidRPr="00A45DC4">
        <w:rPr>
          <w:rFonts w:ascii="Times New Roman" w:eastAsia="Times New Roman" w:hAnsi="Times New Roman" w:cs="Times New Roman"/>
          <w:sz w:val="23"/>
          <w:szCs w:val="23"/>
        </w:rPr>
        <w:t>t.j</w:t>
      </w:r>
      <w:proofErr w:type="spellEnd"/>
      <w:r w:rsidRPr="00A45DC4">
        <w:rPr>
          <w:rFonts w:ascii="Times New Roman" w:eastAsia="Times New Roman" w:hAnsi="Times New Roman" w:cs="Times New Roman"/>
          <w:sz w:val="23"/>
          <w:szCs w:val="23"/>
        </w:rPr>
        <w:t xml:space="preserve">. Dz. U. z 2017 </w:t>
      </w:r>
      <w:proofErr w:type="spellStart"/>
      <w:r w:rsidRPr="00A45DC4">
        <w:rPr>
          <w:rFonts w:ascii="Times New Roman" w:eastAsia="Times New Roman" w:hAnsi="Times New Roman" w:cs="Times New Roman"/>
          <w:sz w:val="23"/>
          <w:szCs w:val="23"/>
        </w:rPr>
        <w:t>poz</w:t>
      </w:r>
      <w:proofErr w:type="spellEnd"/>
      <w:r w:rsidRPr="00A45DC4">
        <w:rPr>
          <w:rFonts w:ascii="Times New Roman" w:eastAsia="Times New Roman" w:hAnsi="Times New Roman" w:cs="Times New Roman"/>
          <w:sz w:val="23"/>
          <w:szCs w:val="23"/>
        </w:rPr>
        <w:t xml:space="preserve"> 1579 z późn. zm.), udziela odpowiedzi na </w:t>
      </w:r>
      <w:r w:rsidRPr="00A45DC4">
        <w:rPr>
          <w:rFonts w:ascii="Times New Roman" w:eastAsia="Times New Roman" w:hAnsi="Times New Roman" w:cs="Times New Roman"/>
          <w:b/>
          <w:sz w:val="23"/>
          <w:szCs w:val="23"/>
        </w:rPr>
        <w:t>pytania</w:t>
      </w:r>
      <w:r w:rsidRPr="00A45DC4">
        <w:rPr>
          <w:rFonts w:ascii="Times New Roman" w:eastAsia="Times New Roman" w:hAnsi="Times New Roman" w:cs="Times New Roman"/>
          <w:sz w:val="23"/>
          <w:szCs w:val="23"/>
        </w:rPr>
        <w:t xml:space="preserve"> Wykonawcy z dnia 09.03.2018 r.:</w:t>
      </w:r>
    </w:p>
    <w:p w:rsidR="000A60D4" w:rsidRPr="00A45DC4" w:rsidRDefault="000A60D4" w:rsidP="000A60D4">
      <w:pPr>
        <w:spacing w:after="0" w:line="240" w:lineRule="auto"/>
        <w:ind w:firstLine="708"/>
        <w:contextualSpacing/>
        <w:jc w:val="both"/>
        <w:rPr>
          <w:rFonts w:ascii="Times New Roman" w:eastAsia="Times New Roman" w:hAnsi="Times New Roman" w:cs="Times New Roman"/>
          <w:sz w:val="23"/>
          <w:szCs w:val="23"/>
        </w:rPr>
      </w:pPr>
    </w:p>
    <w:p w:rsidR="00417A45" w:rsidRPr="00A45DC4" w:rsidRDefault="00417A45" w:rsidP="00417A45">
      <w:pPr>
        <w:spacing w:after="0" w:line="240" w:lineRule="auto"/>
        <w:ind w:firstLine="426"/>
        <w:jc w:val="both"/>
        <w:rPr>
          <w:rFonts w:ascii="Times New Roman" w:eastAsia="Times New Roman" w:hAnsi="Times New Roman" w:cs="Times New Roman"/>
          <w:sz w:val="23"/>
          <w:szCs w:val="23"/>
        </w:rPr>
      </w:pPr>
      <w:r w:rsidRPr="00A45DC4">
        <w:rPr>
          <w:rFonts w:ascii="Times New Roman" w:eastAsia="Times New Roman" w:hAnsi="Times New Roman" w:cs="Times New Roman"/>
          <w:sz w:val="23"/>
          <w:szCs w:val="23"/>
        </w:rPr>
        <w:t>Wykonawca prosi o wyjaśnienia dotyczące zapisów Specyfikacji istotnych warunków zamówienia wraz z załącznikami – dot. przetargu nieograniczonego na „PRZEBUDOWA SIECI KOMPUTEROWEJ W PRACOWNIACH INFORMATYCZNYCH ORAZ UTWORZENIE PRACOWNI OZE”</w:t>
      </w:r>
    </w:p>
    <w:p w:rsidR="00C65225" w:rsidRPr="00A45DC4" w:rsidRDefault="00C65225" w:rsidP="00417A45">
      <w:pPr>
        <w:spacing w:after="0" w:line="240" w:lineRule="auto"/>
        <w:contextualSpacing/>
        <w:jc w:val="both"/>
        <w:rPr>
          <w:rFonts w:ascii="Times New Roman" w:eastAsia="Times New Roman" w:hAnsi="Times New Roman" w:cs="Times New Roman"/>
          <w:sz w:val="23"/>
          <w:szCs w:val="23"/>
        </w:rPr>
      </w:pPr>
    </w:p>
    <w:p w:rsidR="000A60D4" w:rsidRPr="00A45DC4" w:rsidRDefault="000A60D4" w:rsidP="000A60D4">
      <w:pPr>
        <w:pStyle w:val="Nagwek"/>
        <w:numPr>
          <w:ilvl w:val="0"/>
          <w:numId w:val="2"/>
        </w:numPr>
        <w:tabs>
          <w:tab w:val="clear" w:pos="4536"/>
          <w:tab w:val="clear" w:pos="9072"/>
          <w:tab w:val="left" w:pos="0"/>
        </w:tabs>
        <w:jc w:val="both"/>
        <w:rPr>
          <w:sz w:val="23"/>
          <w:szCs w:val="23"/>
        </w:rPr>
      </w:pPr>
      <w:r w:rsidRPr="00A45DC4">
        <w:rPr>
          <w:sz w:val="23"/>
          <w:szCs w:val="23"/>
        </w:rPr>
        <w:t>Proszę o potwierdzenie standardu wykonania sieci IT jako nie ekranowanej UTP kat. 5e jak jest opisane w Projekcie i na rysunkach. W przedmiarze np. w pozycji 16, 18 pojawia się informacja o montażu złącza RJ45 na skrętce ekranowanej STP/FTP.</w:t>
      </w:r>
    </w:p>
    <w:p w:rsidR="000A60D4" w:rsidRPr="00A45DC4" w:rsidRDefault="000A60D4" w:rsidP="000A60D4">
      <w:pPr>
        <w:pStyle w:val="Nagwek"/>
        <w:tabs>
          <w:tab w:val="clear" w:pos="4536"/>
          <w:tab w:val="clear" w:pos="9072"/>
          <w:tab w:val="left" w:pos="0"/>
          <w:tab w:val="left" w:pos="142"/>
        </w:tabs>
        <w:jc w:val="both"/>
        <w:rPr>
          <w:b/>
          <w:sz w:val="23"/>
          <w:szCs w:val="23"/>
        </w:rPr>
      </w:pPr>
      <w:r w:rsidRPr="00A45DC4">
        <w:rPr>
          <w:b/>
          <w:sz w:val="23"/>
          <w:szCs w:val="23"/>
        </w:rPr>
        <w:t>Ad.1. Potwierdzam, sieć IT należy wykonać jako nieekranowaną UTP kat. 5e, jak podano na rysunkach i w opisie technicznym. Należy zwrócić przy tym uwagę aby przewody teletechniczne były odseparowane od obwodów silnoprą</w:t>
      </w:r>
      <w:r w:rsidR="00A45DC4">
        <w:rPr>
          <w:b/>
          <w:sz w:val="23"/>
          <w:szCs w:val="23"/>
        </w:rPr>
        <w:t>dowych, np. poprzez przegrody w </w:t>
      </w:r>
      <w:r w:rsidRPr="00A45DC4">
        <w:rPr>
          <w:b/>
          <w:sz w:val="23"/>
          <w:szCs w:val="23"/>
        </w:rPr>
        <w:t>kanałach i listwach instalacyjnych.</w:t>
      </w:r>
    </w:p>
    <w:p w:rsidR="000A60D4" w:rsidRPr="00A45DC4" w:rsidRDefault="000A60D4" w:rsidP="000A60D4">
      <w:pPr>
        <w:pStyle w:val="Nagwek"/>
        <w:numPr>
          <w:ilvl w:val="0"/>
          <w:numId w:val="2"/>
        </w:numPr>
        <w:tabs>
          <w:tab w:val="clear" w:pos="4536"/>
          <w:tab w:val="clear" w:pos="9072"/>
          <w:tab w:val="left" w:pos="0"/>
        </w:tabs>
        <w:jc w:val="both"/>
        <w:rPr>
          <w:sz w:val="23"/>
          <w:szCs w:val="23"/>
        </w:rPr>
      </w:pPr>
      <w:r w:rsidRPr="00A45DC4">
        <w:rPr>
          <w:sz w:val="23"/>
          <w:szCs w:val="23"/>
        </w:rPr>
        <w:t>Czy w zakresie przetargu jest dostawa, montaż i uruchomienie: urządzenia aktywne (</w:t>
      </w:r>
      <w:proofErr w:type="spellStart"/>
      <w:r w:rsidRPr="00A45DC4">
        <w:rPr>
          <w:sz w:val="23"/>
          <w:szCs w:val="23"/>
        </w:rPr>
        <w:t>switch</w:t>
      </w:r>
      <w:proofErr w:type="spellEnd"/>
      <w:r w:rsidRPr="00A45DC4">
        <w:rPr>
          <w:sz w:val="23"/>
          <w:szCs w:val="23"/>
        </w:rPr>
        <w:t>, router, router ADSL, przełącznik KVM, macierz dyskowa) oraz dysk twardy 3TB, centrala telefoniczna – jaka konfiguracja, czy z telefonami czy bez, wzmacniacz audio, zasilacz UPS 3000VA, tablica interaktywna, komputer, projektor, głośniki, mikrofon bezprzewodowy, kamera, punkt dostępowy WIFI, rolety do pracowni OZE  Jeżeli tak to proszę o podanie minimalnych parametrów jakie mają spełniać w/w urządzenia.</w:t>
      </w:r>
    </w:p>
    <w:p w:rsidR="000A60D4" w:rsidRPr="00A45DC4" w:rsidRDefault="000A60D4" w:rsidP="008906F9">
      <w:pPr>
        <w:pStyle w:val="Nagwek"/>
        <w:tabs>
          <w:tab w:val="clear" w:pos="4536"/>
          <w:tab w:val="clear" w:pos="9072"/>
          <w:tab w:val="left" w:pos="0"/>
        </w:tabs>
        <w:jc w:val="both"/>
        <w:rPr>
          <w:b/>
          <w:sz w:val="23"/>
          <w:szCs w:val="23"/>
        </w:rPr>
      </w:pPr>
      <w:r w:rsidRPr="00A45DC4">
        <w:rPr>
          <w:b/>
          <w:sz w:val="23"/>
          <w:szCs w:val="23"/>
        </w:rPr>
        <w:t>Ad.2. Poza zakresem przetargu są urządzenia aktywne (</w:t>
      </w:r>
      <w:proofErr w:type="spellStart"/>
      <w:r w:rsidRPr="00A45DC4">
        <w:rPr>
          <w:b/>
          <w:sz w:val="23"/>
          <w:szCs w:val="23"/>
        </w:rPr>
        <w:t>switch</w:t>
      </w:r>
      <w:proofErr w:type="spellEnd"/>
      <w:r w:rsidRPr="00A45DC4">
        <w:rPr>
          <w:b/>
          <w:sz w:val="23"/>
          <w:szCs w:val="23"/>
        </w:rPr>
        <w:t>, router, router ADSL, przełącznik KVM, macierz dyskowa) oraz dysk twardy 3TB, centrala telefoniczna, wzmacniacz audio, zasilacz UPS 3000VA, tablica interaktywna, komputer, projektor, głośniki, mikrofon bezprzewodowy, kamera, punkt dostępowy WIFI, rolety do pracowni OZE – dostawa w/w elementów objęta jest oddzielnym przetargiem. Dodatkowo z przetargu wyłączona jest dostawa rozdzielnic stanowiskowych TP1-TP6 do pracowni OZE oraz opraw oświetleniowych do pracowni informatycznych.</w:t>
      </w:r>
    </w:p>
    <w:p w:rsidR="000A60D4" w:rsidRPr="00A45DC4" w:rsidRDefault="000A60D4" w:rsidP="008906F9">
      <w:pPr>
        <w:pStyle w:val="Nagwek"/>
        <w:tabs>
          <w:tab w:val="clear" w:pos="4536"/>
          <w:tab w:val="clear" w:pos="9072"/>
          <w:tab w:val="left" w:pos="0"/>
        </w:tabs>
        <w:jc w:val="both"/>
        <w:rPr>
          <w:b/>
          <w:sz w:val="23"/>
          <w:szCs w:val="23"/>
        </w:rPr>
      </w:pPr>
      <w:r w:rsidRPr="00A45DC4">
        <w:rPr>
          <w:b/>
          <w:sz w:val="23"/>
          <w:szCs w:val="23"/>
        </w:rPr>
        <w:t>W zakresie przetargu jest wykonanie kompletnej instalacji elektrycznej</w:t>
      </w:r>
      <w:r w:rsidR="008906F9" w:rsidRPr="00A45DC4">
        <w:rPr>
          <w:b/>
          <w:sz w:val="23"/>
          <w:szCs w:val="23"/>
        </w:rPr>
        <w:t>,</w:t>
      </w:r>
      <w:r w:rsidRPr="00A45DC4">
        <w:rPr>
          <w:b/>
          <w:sz w:val="23"/>
          <w:szCs w:val="23"/>
        </w:rPr>
        <w:t xml:space="preserve"> obejmującej dostawę, montaż i uruchomienie rozdzielnic (poza rozdzielnicami TP1-TP6), okablowania, zestawów gniazd, listew instalacyjnych, wykonanie  wypustów zasilających rolety (dla pracowni OZE i pracowni informatycznych) oraz oprawy oświetleniowe, dostawa i montaż łączników oświetlenia. </w:t>
      </w:r>
    </w:p>
    <w:p w:rsidR="000A60D4" w:rsidRPr="00A45DC4" w:rsidRDefault="000A60D4" w:rsidP="008906F9">
      <w:pPr>
        <w:pStyle w:val="Nagwek"/>
        <w:tabs>
          <w:tab w:val="clear" w:pos="4536"/>
          <w:tab w:val="clear" w:pos="9072"/>
          <w:tab w:val="left" w:pos="0"/>
        </w:tabs>
        <w:jc w:val="both"/>
        <w:rPr>
          <w:b/>
          <w:sz w:val="23"/>
          <w:szCs w:val="23"/>
        </w:rPr>
      </w:pPr>
      <w:r w:rsidRPr="00A45DC4">
        <w:rPr>
          <w:b/>
          <w:sz w:val="23"/>
          <w:szCs w:val="23"/>
        </w:rPr>
        <w:t xml:space="preserve">Instalacja teletechniczna obejmuję dostawę, montaż i uruchomienie: szaf dystrybucyjnych wraz z elementami biernymi (obudowy, płyty czołowe, panele krosowe, panele wentylacyjne, półki, listwy zasilające, kable krosowe), okablowanie, zakończone z jednej strony w panelu krosowym a w drugim na gniazdach RJ45 wraz z dostawą tych gniazd i elementów </w:t>
      </w:r>
      <w:r w:rsidRPr="00A45DC4">
        <w:rPr>
          <w:b/>
          <w:sz w:val="23"/>
          <w:szCs w:val="23"/>
        </w:rPr>
        <w:lastRenderedPageBreak/>
        <w:t>pośredniczących jak listwy, rurki, uchwyty oraz paneli przyłączeniowych multimedialnych, gniazd dla projektorów, tablic, kamer i głośników. Dodatkowo należy przewidzieć montaż (bez dostawy) projektorów, tablic interaktywnych, sprzętu audio, elementów aktywnych sieci IT, które zostaną dostarczone w ramach równolegle prowadzonego przetargu.</w:t>
      </w:r>
    </w:p>
    <w:p w:rsidR="000A60D4" w:rsidRPr="00A45DC4" w:rsidRDefault="000A60D4" w:rsidP="008906F9">
      <w:pPr>
        <w:pStyle w:val="Nagwek"/>
        <w:tabs>
          <w:tab w:val="clear" w:pos="4536"/>
          <w:tab w:val="clear" w:pos="9072"/>
          <w:tab w:val="left" w:pos="0"/>
        </w:tabs>
        <w:jc w:val="both"/>
        <w:rPr>
          <w:b/>
          <w:sz w:val="23"/>
          <w:szCs w:val="23"/>
        </w:rPr>
      </w:pPr>
      <w:r w:rsidRPr="00A45DC4">
        <w:rPr>
          <w:b/>
          <w:sz w:val="23"/>
          <w:szCs w:val="23"/>
        </w:rPr>
        <w:t>W zakresie przetargu jest wykonanie pomiarów wykonanych instalacji. Połączenie pomiędzy elementami biernymi (panel krosowy) i aktywnymi w szafach dystrybucyjnych należeć będzie do Użytkownika, który sam zdecyduje które gniazda będą używane dla sieci IT, telefonów i kamer.</w:t>
      </w:r>
    </w:p>
    <w:p w:rsidR="000A60D4" w:rsidRPr="00A45DC4" w:rsidRDefault="000A60D4" w:rsidP="000A60D4">
      <w:pPr>
        <w:pStyle w:val="Nagwek"/>
        <w:numPr>
          <w:ilvl w:val="0"/>
          <w:numId w:val="2"/>
        </w:numPr>
        <w:tabs>
          <w:tab w:val="clear" w:pos="4536"/>
          <w:tab w:val="clear" w:pos="9072"/>
          <w:tab w:val="left" w:pos="0"/>
        </w:tabs>
        <w:jc w:val="both"/>
        <w:rPr>
          <w:sz w:val="23"/>
          <w:szCs w:val="23"/>
        </w:rPr>
      </w:pPr>
      <w:r w:rsidRPr="00A45DC4">
        <w:rPr>
          <w:sz w:val="23"/>
          <w:szCs w:val="23"/>
        </w:rPr>
        <w:t>Proszę o potwierdzenie technologii wykonani</w:t>
      </w:r>
      <w:r w:rsidR="008906F9" w:rsidRPr="00A45DC4">
        <w:rPr>
          <w:sz w:val="23"/>
          <w:szCs w:val="23"/>
        </w:rPr>
        <w:t>a instalacji przewodowej wraz z </w:t>
      </w:r>
      <w:r w:rsidRPr="00A45DC4">
        <w:rPr>
          <w:sz w:val="23"/>
          <w:szCs w:val="23"/>
        </w:rPr>
        <w:t>osprzętem jako natynkowej w listwach i kanałach PCV. W uwagach na rysunkach pojawia się informacja o bruzdowaniu natomiast w przedmiarze nie ma takich pozycji jak bruzdowanie czy naprawianie ścian z malowaniem.</w:t>
      </w:r>
    </w:p>
    <w:p w:rsidR="000A60D4" w:rsidRPr="00A45DC4" w:rsidRDefault="000A60D4" w:rsidP="008906F9">
      <w:pPr>
        <w:pStyle w:val="Nagwek"/>
        <w:tabs>
          <w:tab w:val="clear" w:pos="4536"/>
          <w:tab w:val="clear" w:pos="9072"/>
          <w:tab w:val="left" w:pos="0"/>
        </w:tabs>
        <w:jc w:val="both"/>
        <w:rPr>
          <w:b/>
          <w:sz w:val="23"/>
          <w:szCs w:val="23"/>
        </w:rPr>
      </w:pPr>
      <w:r w:rsidRPr="00A45DC4">
        <w:rPr>
          <w:b/>
          <w:sz w:val="23"/>
          <w:szCs w:val="23"/>
        </w:rPr>
        <w:t>Ad.3. Na etapie przetargu, ze względu na ograniczone koszty, nie przewidziano odtwarzania tynków, szpachlowania i malowania ścian, zatem instalację należy wykonać jako natynkową w listwach i kanałach instalacyjnych. Jeżeli jednak wy</w:t>
      </w:r>
      <w:r w:rsidR="00A45DC4">
        <w:rPr>
          <w:b/>
          <w:sz w:val="23"/>
          <w:szCs w:val="23"/>
        </w:rPr>
        <w:t>stąpi konieczność bruzdowania i </w:t>
      </w:r>
      <w:r w:rsidRPr="00A45DC4">
        <w:rPr>
          <w:b/>
          <w:sz w:val="23"/>
          <w:szCs w:val="23"/>
        </w:rPr>
        <w:t>odtworzenia tynku wraz z zaprawkami malarskimi pewnych odcinków instalacji, Wykonawca powinien uwzględnić to w swojej ofercie (proponuję przyjąć po ok. 20mb instalacji, wymagającej takiej metody montażu okablowania, dla każdej pracowni).</w:t>
      </w:r>
    </w:p>
    <w:p w:rsidR="000A60D4" w:rsidRPr="00A45DC4" w:rsidRDefault="000A60D4" w:rsidP="000A60D4">
      <w:pPr>
        <w:pStyle w:val="Nagwek"/>
        <w:numPr>
          <w:ilvl w:val="0"/>
          <w:numId w:val="2"/>
        </w:numPr>
        <w:tabs>
          <w:tab w:val="clear" w:pos="4536"/>
          <w:tab w:val="clear" w:pos="9072"/>
          <w:tab w:val="left" w:pos="0"/>
        </w:tabs>
        <w:jc w:val="both"/>
        <w:rPr>
          <w:sz w:val="23"/>
          <w:szCs w:val="23"/>
        </w:rPr>
      </w:pPr>
      <w:r w:rsidRPr="00A45DC4">
        <w:rPr>
          <w:sz w:val="23"/>
          <w:szCs w:val="23"/>
        </w:rPr>
        <w:t>Proszę precyzyjnie określić pozycję demontaży instala</w:t>
      </w:r>
      <w:r w:rsidR="008906F9" w:rsidRPr="00A45DC4">
        <w:rPr>
          <w:sz w:val="23"/>
          <w:szCs w:val="23"/>
        </w:rPr>
        <w:t>cji w tym gniazd i opraw wraz z </w:t>
      </w:r>
      <w:r w:rsidRPr="00A45DC4">
        <w:rPr>
          <w:sz w:val="23"/>
          <w:szCs w:val="23"/>
        </w:rPr>
        <w:t>okablowaniem np. czy istniejące przewody ułożone w tynku należy wykuć?</w:t>
      </w:r>
    </w:p>
    <w:p w:rsidR="000A60D4" w:rsidRPr="00A45DC4" w:rsidRDefault="000A60D4" w:rsidP="008906F9">
      <w:pPr>
        <w:pStyle w:val="Nagwek"/>
        <w:tabs>
          <w:tab w:val="clear" w:pos="4536"/>
          <w:tab w:val="clear" w:pos="9072"/>
          <w:tab w:val="left" w:pos="0"/>
        </w:tabs>
        <w:jc w:val="both"/>
        <w:rPr>
          <w:sz w:val="23"/>
          <w:szCs w:val="23"/>
        </w:rPr>
      </w:pPr>
      <w:r w:rsidRPr="00A45DC4">
        <w:rPr>
          <w:b/>
          <w:sz w:val="23"/>
          <w:szCs w:val="23"/>
        </w:rPr>
        <w:t xml:space="preserve">Ad.4. Do wyceny należy przyjąć demontaż gniazd, opraw oraz okablowania prowadzonego w listwach i kanałach instalacyjnych. Pozostałe okablowanie prowadzone w tynku należy unieczynnić poprzez odpięcie przewodów od zasilania i urządzeń oraz ukrycie w tynku końców przewodów, zaszpachlowanie   i wykonanie zaprawki malarskiej. Nie ma </w:t>
      </w:r>
      <w:r w:rsidR="008906F9" w:rsidRPr="00A45DC4">
        <w:rPr>
          <w:b/>
          <w:sz w:val="23"/>
          <w:szCs w:val="23"/>
        </w:rPr>
        <w:t>konieczności wyciągać przewodów</w:t>
      </w:r>
      <w:r w:rsidRPr="00A45DC4">
        <w:rPr>
          <w:b/>
          <w:sz w:val="23"/>
          <w:szCs w:val="23"/>
        </w:rPr>
        <w:t xml:space="preserve"> z tynku. </w:t>
      </w:r>
    </w:p>
    <w:p w:rsidR="000A60D4" w:rsidRPr="00A45DC4" w:rsidRDefault="000A60D4" w:rsidP="000A60D4">
      <w:pPr>
        <w:pStyle w:val="Nagwek"/>
        <w:numPr>
          <w:ilvl w:val="0"/>
          <w:numId w:val="2"/>
        </w:numPr>
        <w:tabs>
          <w:tab w:val="clear" w:pos="4536"/>
          <w:tab w:val="clear" w:pos="9072"/>
          <w:tab w:val="left" w:pos="0"/>
        </w:tabs>
        <w:jc w:val="both"/>
        <w:rPr>
          <w:sz w:val="23"/>
          <w:szCs w:val="23"/>
        </w:rPr>
      </w:pPr>
      <w:r w:rsidRPr="00A45DC4">
        <w:rPr>
          <w:sz w:val="23"/>
          <w:szCs w:val="23"/>
        </w:rPr>
        <w:t xml:space="preserve">Jakie obwody/przekroje będą realizowane kablem </w:t>
      </w:r>
      <w:proofErr w:type="spellStart"/>
      <w:r w:rsidRPr="00A45DC4">
        <w:rPr>
          <w:sz w:val="23"/>
          <w:szCs w:val="23"/>
        </w:rPr>
        <w:t>YKYżo</w:t>
      </w:r>
      <w:proofErr w:type="spellEnd"/>
      <w:r w:rsidRPr="00A45DC4">
        <w:rPr>
          <w:sz w:val="23"/>
          <w:szCs w:val="23"/>
        </w:rPr>
        <w:t xml:space="preserve"> do urządzeń zewnętrznych – projekt pkt 4.5 Na schematach rozdzielni brak takich odpływów.</w:t>
      </w:r>
    </w:p>
    <w:p w:rsidR="000A60D4" w:rsidRPr="00A45DC4" w:rsidRDefault="000A60D4" w:rsidP="008906F9">
      <w:pPr>
        <w:pStyle w:val="Nagwek"/>
        <w:tabs>
          <w:tab w:val="clear" w:pos="4536"/>
          <w:tab w:val="clear" w:pos="9072"/>
          <w:tab w:val="left" w:pos="0"/>
        </w:tabs>
        <w:jc w:val="both"/>
        <w:rPr>
          <w:b/>
          <w:sz w:val="23"/>
          <w:szCs w:val="23"/>
        </w:rPr>
      </w:pPr>
      <w:r w:rsidRPr="00A45DC4">
        <w:rPr>
          <w:b/>
          <w:sz w:val="23"/>
          <w:szCs w:val="23"/>
        </w:rPr>
        <w:t xml:space="preserve">Ad.5. Wszystkie obwody wykonać przewodami typu </w:t>
      </w:r>
      <w:proofErr w:type="spellStart"/>
      <w:r w:rsidRPr="00A45DC4">
        <w:rPr>
          <w:b/>
          <w:sz w:val="23"/>
          <w:szCs w:val="23"/>
        </w:rPr>
        <w:t>YDYżo</w:t>
      </w:r>
      <w:proofErr w:type="spellEnd"/>
      <w:r w:rsidRPr="00A45DC4">
        <w:rPr>
          <w:b/>
          <w:sz w:val="23"/>
          <w:szCs w:val="23"/>
        </w:rPr>
        <w:t>, zgodnie ze schematami rozdzielnic.</w:t>
      </w:r>
    </w:p>
    <w:p w:rsidR="000A60D4" w:rsidRPr="00A45DC4" w:rsidRDefault="000A60D4" w:rsidP="000A60D4">
      <w:pPr>
        <w:pStyle w:val="Nagwek"/>
        <w:numPr>
          <w:ilvl w:val="0"/>
          <w:numId w:val="2"/>
        </w:numPr>
        <w:tabs>
          <w:tab w:val="clear" w:pos="4536"/>
          <w:tab w:val="clear" w:pos="9072"/>
          <w:tab w:val="left" w:pos="0"/>
        </w:tabs>
        <w:jc w:val="both"/>
        <w:rPr>
          <w:sz w:val="23"/>
          <w:szCs w:val="23"/>
        </w:rPr>
      </w:pPr>
      <w:r w:rsidRPr="00A45DC4">
        <w:rPr>
          <w:sz w:val="23"/>
          <w:szCs w:val="23"/>
        </w:rPr>
        <w:t>Czy w celu zabezpieczenia przed pożarem należy dołożyć w rozdzielnicach zabezpieczenie różnicowo- prądowe 300mA które nie występują na schematach – projekt pkt 4.11</w:t>
      </w:r>
      <w:r w:rsidR="005F1F86" w:rsidRPr="00A45DC4">
        <w:rPr>
          <w:sz w:val="23"/>
          <w:szCs w:val="23"/>
        </w:rPr>
        <w:t>.</w:t>
      </w:r>
    </w:p>
    <w:p w:rsidR="000A60D4" w:rsidRPr="00A45DC4" w:rsidRDefault="000A60D4" w:rsidP="008906F9">
      <w:pPr>
        <w:pStyle w:val="Nagwek"/>
        <w:tabs>
          <w:tab w:val="clear" w:pos="4536"/>
          <w:tab w:val="clear" w:pos="9072"/>
          <w:tab w:val="left" w:pos="0"/>
        </w:tabs>
        <w:jc w:val="both"/>
        <w:rPr>
          <w:b/>
          <w:sz w:val="23"/>
          <w:szCs w:val="23"/>
        </w:rPr>
      </w:pPr>
      <w:r w:rsidRPr="00A45DC4">
        <w:rPr>
          <w:b/>
          <w:sz w:val="23"/>
          <w:szCs w:val="23"/>
        </w:rPr>
        <w:t>Ad.6. W celu ochrony przeciwpożarowej, w każdym obwodzie odbiorczym,  zastosowano wyłączniki różnicowoprądowe wysokoczułe o prądzie zadziałania 30mA. Nie ma konieczności stosowania dodatkowych wyłączników różnicowoprądowych 300mA.</w:t>
      </w:r>
    </w:p>
    <w:p w:rsidR="00417A45" w:rsidRPr="00A45DC4" w:rsidRDefault="00417A45" w:rsidP="00417A45">
      <w:pPr>
        <w:spacing w:after="0" w:line="240" w:lineRule="auto"/>
        <w:ind w:firstLine="426"/>
        <w:jc w:val="both"/>
        <w:rPr>
          <w:rFonts w:ascii="Times New Roman" w:eastAsia="Times New Roman" w:hAnsi="Times New Roman" w:cs="Times New Roman"/>
          <w:b/>
          <w:sz w:val="23"/>
          <w:szCs w:val="23"/>
        </w:rPr>
      </w:pPr>
    </w:p>
    <w:p w:rsidR="00A45DC4" w:rsidRPr="00A45DC4" w:rsidRDefault="00A45DC4" w:rsidP="00417A45">
      <w:pPr>
        <w:spacing w:after="0" w:line="240" w:lineRule="auto"/>
        <w:ind w:firstLine="426"/>
        <w:jc w:val="both"/>
        <w:rPr>
          <w:rFonts w:ascii="Times New Roman" w:eastAsia="Times New Roman" w:hAnsi="Times New Roman" w:cs="Times New Roman"/>
          <w:b/>
          <w:sz w:val="23"/>
          <w:szCs w:val="23"/>
        </w:rPr>
      </w:pPr>
    </w:p>
    <w:p w:rsidR="009701B4" w:rsidRPr="00A45DC4" w:rsidRDefault="005F1F86" w:rsidP="008906F9">
      <w:pPr>
        <w:spacing w:after="0" w:line="240" w:lineRule="auto"/>
        <w:ind w:firstLine="708"/>
        <w:jc w:val="both"/>
        <w:rPr>
          <w:rFonts w:ascii="Times New Roman" w:eastAsia="Times New Roman" w:hAnsi="Times New Roman" w:cs="Times New Roman"/>
          <w:sz w:val="23"/>
          <w:szCs w:val="23"/>
        </w:rPr>
      </w:pPr>
      <w:r w:rsidRPr="00A45DC4">
        <w:rPr>
          <w:rFonts w:ascii="Times New Roman" w:eastAsia="Times New Roman" w:hAnsi="Times New Roman" w:cs="Times New Roman"/>
          <w:sz w:val="23"/>
          <w:szCs w:val="23"/>
        </w:rPr>
        <w:t xml:space="preserve">Ponadto na podstawie art. 38 ust. 4 </w:t>
      </w:r>
      <w:r w:rsidR="00A45DC4" w:rsidRPr="00A45DC4">
        <w:rPr>
          <w:rFonts w:ascii="Times New Roman" w:eastAsia="Times New Roman" w:hAnsi="Times New Roman" w:cs="Times New Roman"/>
          <w:sz w:val="23"/>
          <w:szCs w:val="23"/>
        </w:rPr>
        <w:t xml:space="preserve">Zamawiający </w:t>
      </w:r>
      <w:r w:rsidR="00A45DC4" w:rsidRPr="00A45DC4">
        <w:rPr>
          <w:rFonts w:ascii="Times New Roman" w:eastAsia="Times New Roman" w:hAnsi="Times New Roman" w:cs="Times New Roman"/>
          <w:b/>
          <w:sz w:val="23"/>
          <w:szCs w:val="23"/>
        </w:rPr>
        <w:t>dokonuje zmiany brzmienia Załącznika nr 4 do SIWZ</w:t>
      </w:r>
      <w:r w:rsidR="00A45DC4" w:rsidRPr="00A45DC4">
        <w:rPr>
          <w:rFonts w:ascii="Times New Roman" w:eastAsia="Times New Roman" w:hAnsi="Times New Roman" w:cs="Times New Roman"/>
          <w:sz w:val="23"/>
          <w:szCs w:val="23"/>
        </w:rPr>
        <w:t xml:space="preserve"> – Umowa:</w:t>
      </w:r>
    </w:p>
    <w:p w:rsidR="00A45DC4" w:rsidRPr="00A45DC4" w:rsidRDefault="00A45DC4" w:rsidP="00A45DC4">
      <w:pPr>
        <w:spacing w:after="0" w:line="240" w:lineRule="auto"/>
        <w:jc w:val="both"/>
        <w:rPr>
          <w:rFonts w:ascii="Times New Roman" w:eastAsia="Times New Roman" w:hAnsi="Times New Roman" w:cs="Times New Roman"/>
          <w:sz w:val="23"/>
          <w:szCs w:val="23"/>
          <w:u w:val="single"/>
        </w:rPr>
      </w:pPr>
      <w:r w:rsidRPr="00A45DC4">
        <w:rPr>
          <w:rFonts w:ascii="Times New Roman" w:eastAsia="Times New Roman" w:hAnsi="Times New Roman" w:cs="Times New Roman"/>
          <w:sz w:val="23"/>
          <w:szCs w:val="23"/>
          <w:u w:val="single"/>
        </w:rPr>
        <w:t>w dotychczasowym brzmieniu:</w:t>
      </w:r>
    </w:p>
    <w:p w:rsidR="00A45DC4" w:rsidRPr="00A45DC4" w:rsidRDefault="00A45DC4" w:rsidP="00A45DC4">
      <w:pPr>
        <w:autoSpaceDE w:val="0"/>
        <w:autoSpaceDN w:val="0"/>
        <w:adjustRightInd w:val="0"/>
        <w:spacing w:after="0" w:line="240" w:lineRule="auto"/>
        <w:jc w:val="center"/>
        <w:rPr>
          <w:rFonts w:ascii="Times New Roman" w:eastAsia="Times New Roman" w:hAnsi="Times New Roman" w:cs="Times New Roman"/>
          <w:b/>
          <w:bCs/>
          <w:spacing w:val="40"/>
          <w:sz w:val="23"/>
          <w:szCs w:val="23"/>
          <w:lang w:eastAsia="pl-PL"/>
        </w:rPr>
      </w:pPr>
      <w:r w:rsidRPr="00A45DC4">
        <w:rPr>
          <w:rFonts w:ascii="Times New Roman" w:eastAsia="Times New Roman" w:hAnsi="Times New Roman" w:cs="Times New Roman"/>
          <w:b/>
          <w:bCs/>
          <w:spacing w:val="40"/>
          <w:sz w:val="23"/>
          <w:szCs w:val="23"/>
          <w:lang w:eastAsia="pl-PL"/>
        </w:rPr>
        <w:t>§2</w:t>
      </w:r>
    </w:p>
    <w:p w:rsidR="00A45DC4" w:rsidRPr="00A45DC4" w:rsidRDefault="00A45DC4" w:rsidP="00A45DC4">
      <w:pPr>
        <w:pStyle w:val="Akapitzlist"/>
        <w:numPr>
          <w:ilvl w:val="0"/>
          <w:numId w:val="3"/>
        </w:numPr>
        <w:spacing w:after="0" w:line="240" w:lineRule="auto"/>
        <w:jc w:val="both"/>
        <w:rPr>
          <w:rFonts w:ascii="Times New Roman" w:eastAsia="Times New Roman" w:hAnsi="Times New Roman" w:cs="Times New Roman"/>
          <w:sz w:val="23"/>
          <w:szCs w:val="23"/>
          <w:lang w:eastAsia="pl-PL"/>
        </w:rPr>
      </w:pPr>
      <w:r w:rsidRPr="00A45DC4">
        <w:rPr>
          <w:rFonts w:ascii="Times New Roman" w:eastAsia="Times New Roman" w:hAnsi="Times New Roman" w:cs="Times New Roman"/>
          <w:sz w:val="23"/>
          <w:szCs w:val="23"/>
          <w:lang w:eastAsia="pl-PL"/>
        </w:rPr>
        <w:t>Wykonawca przyjmuje do wykonania przedmiot umowy określony dokumentacją składającą się z dokumentacji technicznej dotyczącej przebudowy sieci komputerowej stanowiącej Załącznik nr 9d do SIWZ.</w:t>
      </w:r>
    </w:p>
    <w:p w:rsidR="00A45DC4" w:rsidRPr="00A45DC4" w:rsidRDefault="00A45DC4" w:rsidP="00A45DC4">
      <w:pPr>
        <w:spacing w:after="0" w:line="240" w:lineRule="auto"/>
        <w:jc w:val="both"/>
        <w:rPr>
          <w:rFonts w:ascii="Times New Roman" w:eastAsia="Times New Roman" w:hAnsi="Times New Roman" w:cs="Times New Roman"/>
          <w:sz w:val="23"/>
          <w:szCs w:val="23"/>
          <w:lang w:eastAsia="pl-PL"/>
        </w:rPr>
      </w:pPr>
    </w:p>
    <w:p w:rsidR="00A45DC4" w:rsidRPr="00A45DC4" w:rsidRDefault="00A45DC4" w:rsidP="00A45DC4">
      <w:pPr>
        <w:spacing w:after="0" w:line="240" w:lineRule="auto"/>
        <w:jc w:val="both"/>
        <w:rPr>
          <w:rFonts w:ascii="Times New Roman" w:eastAsia="Times New Roman" w:hAnsi="Times New Roman" w:cs="Times New Roman"/>
          <w:b/>
          <w:i/>
          <w:sz w:val="23"/>
          <w:szCs w:val="23"/>
          <w:u w:val="single"/>
          <w:lang w:eastAsia="pl-PL"/>
        </w:rPr>
      </w:pPr>
      <w:r w:rsidRPr="00A45DC4">
        <w:rPr>
          <w:rFonts w:ascii="Times New Roman" w:eastAsia="Times New Roman" w:hAnsi="Times New Roman" w:cs="Times New Roman"/>
          <w:b/>
          <w:i/>
          <w:sz w:val="23"/>
          <w:szCs w:val="23"/>
          <w:u w:val="single"/>
          <w:lang w:eastAsia="pl-PL"/>
        </w:rPr>
        <w:t>przyjmuje brzmienie:</w:t>
      </w:r>
    </w:p>
    <w:p w:rsidR="00A45DC4" w:rsidRPr="00A45DC4" w:rsidRDefault="00A45DC4" w:rsidP="00A45DC4">
      <w:pPr>
        <w:autoSpaceDE w:val="0"/>
        <w:autoSpaceDN w:val="0"/>
        <w:adjustRightInd w:val="0"/>
        <w:spacing w:after="0" w:line="240" w:lineRule="auto"/>
        <w:jc w:val="center"/>
        <w:rPr>
          <w:rFonts w:ascii="Times New Roman" w:eastAsia="Times New Roman" w:hAnsi="Times New Roman" w:cs="Times New Roman"/>
          <w:b/>
          <w:bCs/>
          <w:spacing w:val="40"/>
          <w:sz w:val="23"/>
          <w:szCs w:val="23"/>
          <w:lang w:eastAsia="pl-PL"/>
        </w:rPr>
      </w:pPr>
      <w:r w:rsidRPr="00A45DC4">
        <w:rPr>
          <w:rFonts w:ascii="Times New Roman" w:eastAsia="Times New Roman" w:hAnsi="Times New Roman" w:cs="Times New Roman"/>
          <w:b/>
          <w:bCs/>
          <w:spacing w:val="40"/>
          <w:sz w:val="23"/>
          <w:szCs w:val="23"/>
          <w:lang w:eastAsia="pl-PL"/>
        </w:rPr>
        <w:t>§2</w:t>
      </w:r>
    </w:p>
    <w:p w:rsidR="00A45DC4" w:rsidRPr="00A45DC4" w:rsidRDefault="00A45DC4" w:rsidP="00A45DC4">
      <w:pPr>
        <w:spacing w:after="0" w:line="240" w:lineRule="auto"/>
        <w:ind w:left="360" w:hanging="360"/>
        <w:jc w:val="both"/>
        <w:rPr>
          <w:rFonts w:ascii="Times New Roman" w:eastAsia="Times New Roman" w:hAnsi="Times New Roman" w:cs="Times New Roman"/>
          <w:sz w:val="23"/>
          <w:szCs w:val="23"/>
          <w:lang w:eastAsia="pl-PL"/>
        </w:rPr>
      </w:pPr>
      <w:r w:rsidRPr="00A45DC4">
        <w:rPr>
          <w:rFonts w:ascii="Times New Roman" w:eastAsia="Times New Roman" w:hAnsi="Times New Roman" w:cs="Times New Roman"/>
          <w:sz w:val="23"/>
          <w:szCs w:val="23"/>
          <w:lang w:eastAsia="pl-PL"/>
        </w:rPr>
        <w:t>1.</w:t>
      </w:r>
      <w:r w:rsidRPr="00A45DC4">
        <w:rPr>
          <w:rFonts w:ascii="Times New Roman" w:eastAsia="Times New Roman" w:hAnsi="Times New Roman" w:cs="Times New Roman"/>
          <w:sz w:val="23"/>
          <w:szCs w:val="23"/>
          <w:lang w:eastAsia="pl-PL"/>
        </w:rPr>
        <w:tab/>
        <w:t xml:space="preserve">Wykonawca przyjmuje do wykonania przedmiot umowy określony dokumentacją składającą się z dokumentacji technicznej dotyczącej przebudowy sieci komputerowej </w:t>
      </w:r>
      <w:r w:rsidRPr="00A45DC4">
        <w:rPr>
          <w:rFonts w:ascii="Times New Roman" w:eastAsia="Times New Roman" w:hAnsi="Times New Roman" w:cs="Times New Roman"/>
          <w:sz w:val="23"/>
          <w:szCs w:val="23"/>
          <w:lang w:eastAsia="pl-PL"/>
        </w:rPr>
        <w:t>stanowiącej Załącznik nr 9</w:t>
      </w:r>
      <w:r w:rsidRPr="00A45DC4">
        <w:rPr>
          <w:rFonts w:ascii="Times New Roman" w:eastAsia="Times New Roman" w:hAnsi="Times New Roman" w:cs="Times New Roman"/>
          <w:sz w:val="23"/>
          <w:szCs w:val="23"/>
          <w:lang w:eastAsia="pl-PL"/>
        </w:rPr>
        <w:t xml:space="preserve"> do SIWZ.</w:t>
      </w:r>
    </w:p>
    <w:p w:rsidR="00A45DC4" w:rsidRPr="00A45DC4" w:rsidRDefault="00A45DC4" w:rsidP="00A45DC4">
      <w:pPr>
        <w:spacing w:after="0" w:line="240" w:lineRule="auto"/>
        <w:jc w:val="both"/>
        <w:rPr>
          <w:rFonts w:ascii="Times New Roman" w:eastAsia="Times New Roman" w:hAnsi="Times New Roman" w:cs="Times New Roman"/>
          <w:sz w:val="23"/>
          <w:szCs w:val="23"/>
          <w:lang w:eastAsia="pl-PL"/>
        </w:rPr>
      </w:pPr>
    </w:p>
    <w:p w:rsidR="00A45DC4" w:rsidRDefault="00A45DC4" w:rsidP="008906F9">
      <w:pPr>
        <w:spacing w:after="0" w:line="240" w:lineRule="auto"/>
        <w:ind w:firstLine="708"/>
        <w:jc w:val="both"/>
        <w:rPr>
          <w:rFonts w:ascii="Times New Roman" w:eastAsia="Times New Roman" w:hAnsi="Times New Roman" w:cs="Times New Roman"/>
          <w:color w:val="FF0000"/>
          <w:sz w:val="23"/>
          <w:szCs w:val="23"/>
        </w:rPr>
      </w:pPr>
    </w:p>
    <w:p w:rsidR="00A45DC4" w:rsidRPr="00A45DC4" w:rsidRDefault="00A45DC4" w:rsidP="008906F9">
      <w:pPr>
        <w:spacing w:after="0" w:line="240" w:lineRule="auto"/>
        <w:ind w:firstLine="708"/>
        <w:jc w:val="both"/>
        <w:rPr>
          <w:rFonts w:ascii="Times New Roman" w:eastAsia="Times New Roman" w:hAnsi="Times New Roman" w:cs="Times New Roman"/>
          <w:color w:val="FF0000"/>
          <w:sz w:val="23"/>
          <w:szCs w:val="23"/>
        </w:rPr>
      </w:pPr>
    </w:p>
    <w:sectPr w:rsidR="00A45DC4" w:rsidRPr="00A45DC4" w:rsidSect="00417A45">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27C"/>
    <w:multiLevelType w:val="hybridMultilevel"/>
    <w:tmpl w:val="10364352"/>
    <w:lvl w:ilvl="0" w:tplc="F112D06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1766C75"/>
    <w:multiLevelType w:val="hybridMultilevel"/>
    <w:tmpl w:val="324C1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B3E303A"/>
    <w:multiLevelType w:val="hybridMultilevel"/>
    <w:tmpl w:val="BFD4AD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E7"/>
    <w:rsid w:val="000A60D4"/>
    <w:rsid w:val="000B6849"/>
    <w:rsid w:val="00156EA7"/>
    <w:rsid w:val="00417A45"/>
    <w:rsid w:val="004C3E53"/>
    <w:rsid w:val="005F1F86"/>
    <w:rsid w:val="007926B4"/>
    <w:rsid w:val="007A1E37"/>
    <w:rsid w:val="00886AE7"/>
    <w:rsid w:val="008906F9"/>
    <w:rsid w:val="009701B4"/>
    <w:rsid w:val="009C1689"/>
    <w:rsid w:val="00A058BA"/>
    <w:rsid w:val="00A45DC4"/>
    <w:rsid w:val="00C65225"/>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01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01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01B4"/>
    <w:rPr>
      <w:rFonts w:ascii="Tahoma" w:hAnsi="Tahoma" w:cs="Tahoma"/>
      <w:sz w:val="16"/>
      <w:szCs w:val="16"/>
    </w:rPr>
  </w:style>
  <w:style w:type="paragraph" w:styleId="Nagwek">
    <w:name w:val="header"/>
    <w:basedOn w:val="Normalny"/>
    <w:link w:val="NagwekZnak"/>
    <w:semiHidden/>
    <w:rsid w:val="000A60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0A60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5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01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01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01B4"/>
    <w:rPr>
      <w:rFonts w:ascii="Tahoma" w:hAnsi="Tahoma" w:cs="Tahoma"/>
      <w:sz w:val="16"/>
      <w:szCs w:val="16"/>
    </w:rPr>
  </w:style>
  <w:style w:type="paragraph" w:styleId="Nagwek">
    <w:name w:val="header"/>
    <w:basedOn w:val="Normalny"/>
    <w:link w:val="NagwekZnak"/>
    <w:semiHidden/>
    <w:rsid w:val="000A60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0A60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5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905</Words>
  <Characters>5430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5</cp:revision>
  <cp:lastPrinted>2018-03-14T07:51:00Z</cp:lastPrinted>
  <dcterms:created xsi:type="dcterms:W3CDTF">2018-02-02T09:43:00Z</dcterms:created>
  <dcterms:modified xsi:type="dcterms:W3CDTF">2018-03-14T08:06:00Z</dcterms:modified>
</cp:coreProperties>
</file>