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06A74838" w:rsidR="00640147" w:rsidRPr="008556EA" w:rsidRDefault="00A05FC3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1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678D2A32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4857B7">
        <w:rPr>
          <w:rFonts w:asciiTheme="majorHAnsi" w:hAnsiTheme="majorHAnsi" w:cs="Arial"/>
          <w:b/>
          <w:bCs/>
          <w:color w:val="000000"/>
          <w:sz w:val="20"/>
          <w:szCs w:val="20"/>
        </w:rPr>
        <w:t>4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6C53129A" w14:textId="77777777" w:rsidR="00592047" w:rsidRPr="00592047" w:rsidRDefault="00592047" w:rsidP="00592047">
      <w:pPr>
        <w:widowControl w:val="0"/>
        <w:spacing w:after="0" w:line="240" w:lineRule="auto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592047">
        <w:rPr>
          <w:rFonts w:asciiTheme="majorHAnsi" w:hAnsiTheme="majorHAnsi" w:cs="Times New Roman"/>
          <w:b/>
          <w:sz w:val="20"/>
          <w:szCs w:val="20"/>
          <w:lang w:eastAsia="pl-PL"/>
        </w:rPr>
        <w:t>Znak sprawy: OKSO.272.18.2020</w:t>
      </w:r>
    </w:p>
    <w:p w14:paraId="20F8A7C0" w14:textId="77777777" w:rsidR="00592047" w:rsidRPr="00592047" w:rsidRDefault="00592047" w:rsidP="00592047">
      <w:pPr>
        <w:widowControl w:val="0"/>
        <w:spacing w:after="0" w:line="240" w:lineRule="auto"/>
        <w:rPr>
          <w:rFonts w:asciiTheme="majorHAnsi" w:hAnsiTheme="majorHAnsi" w:cs="Times New Roman"/>
          <w:b/>
          <w:sz w:val="20"/>
          <w:szCs w:val="20"/>
          <w:lang w:eastAsia="pl-PL"/>
        </w:rPr>
      </w:pPr>
    </w:p>
    <w:p w14:paraId="3CA5B2EA" w14:textId="77777777" w:rsidR="00592047" w:rsidRPr="00592047" w:rsidRDefault="00592047" w:rsidP="00592047">
      <w:pPr>
        <w:widowControl w:val="0"/>
        <w:spacing w:after="0" w:line="240" w:lineRule="auto"/>
        <w:rPr>
          <w:rFonts w:asciiTheme="majorHAnsi" w:eastAsia="Lucida Sans Unicode" w:hAnsiTheme="majorHAnsi" w:cs="Times New Roman"/>
          <w:b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="Times New Roman"/>
          <w:b/>
          <w:sz w:val="20"/>
          <w:szCs w:val="20"/>
          <w:lang w:eastAsia="pl-PL"/>
        </w:rPr>
        <w:t>Zakup wyposażenia strefy buforowej (oddziału dla pacjentów z COVID-19) w związku z realizacją projektu pn. „Zwalczanie skutków epidemii COVID 19 w Powiecie Jędrzejowskim”</w:t>
      </w:r>
    </w:p>
    <w:p w14:paraId="3BCD9D17" w14:textId="77777777" w:rsidR="00592047" w:rsidRPr="00592047" w:rsidRDefault="00592047" w:rsidP="00592047">
      <w:pPr>
        <w:widowControl w:val="0"/>
        <w:spacing w:after="0" w:line="240" w:lineRule="auto"/>
        <w:ind w:left="360"/>
        <w:jc w:val="center"/>
        <w:rPr>
          <w:rFonts w:asciiTheme="majorHAnsi" w:eastAsia="Lucida Sans Unicode" w:hAnsiTheme="majorHAnsi" w:cs="Times New Roman"/>
          <w:b/>
          <w:sz w:val="20"/>
          <w:szCs w:val="20"/>
          <w:lang w:eastAsia="pl-PL"/>
        </w:rPr>
      </w:pPr>
    </w:p>
    <w:p w14:paraId="29D411FC" w14:textId="3E4B203A" w:rsidR="00A05FC3" w:rsidRPr="00592047" w:rsidRDefault="00592047" w:rsidP="00592047">
      <w:pPr>
        <w:widowControl w:val="0"/>
        <w:spacing w:after="0" w:line="240" w:lineRule="auto"/>
        <w:ind w:left="360"/>
        <w:rPr>
          <w:rFonts w:asciiTheme="majorHAnsi" w:eastAsia="Lucida Sans Unicode" w:hAnsiTheme="majorHAnsi" w:cs="Times New Roman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="Times New Roman"/>
          <w:sz w:val="20"/>
          <w:szCs w:val="20"/>
          <w:lang w:eastAsia="pl-PL"/>
        </w:rPr>
        <w:t xml:space="preserve">Zadanie 1. Łóżko szpitalne elektryczne (komplet zawierający łóżko, barierki, wysięgnik, materac, szafka </w:t>
      </w:r>
      <w:proofErr w:type="spellStart"/>
      <w:r w:rsidRPr="00592047">
        <w:rPr>
          <w:rFonts w:asciiTheme="majorHAnsi" w:eastAsia="Lucida Sans Unicode" w:hAnsiTheme="majorHAnsi" w:cs="Times New Roman"/>
          <w:sz w:val="20"/>
          <w:szCs w:val="20"/>
          <w:lang w:eastAsia="pl-PL"/>
        </w:rPr>
        <w:t>velo</w:t>
      </w:r>
      <w:proofErr w:type="spellEnd"/>
      <w:r w:rsidRPr="00592047">
        <w:rPr>
          <w:rFonts w:asciiTheme="majorHAnsi" w:eastAsia="Lucida Sans Unicode" w:hAnsiTheme="majorHAnsi" w:cs="Times New Roman"/>
          <w:sz w:val="20"/>
          <w:szCs w:val="20"/>
          <w:lang w:eastAsia="pl-PL"/>
        </w:rPr>
        <w:t xml:space="preserve"> bez blatu )</w:t>
      </w:r>
    </w:p>
    <w:p w14:paraId="47C2B9AD" w14:textId="77777777" w:rsidR="00A05FC3" w:rsidRPr="00592047" w:rsidRDefault="00A05FC3" w:rsidP="00C45F72">
      <w:pPr>
        <w:widowControl w:val="0"/>
        <w:spacing w:after="0" w:line="240" w:lineRule="auto"/>
        <w:ind w:left="360"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19A58566" w14:textId="360EBED8" w:rsidR="00A266B7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o długości całkowitej 2150 mm?</w:t>
      </w:r>
    </w:p>
    <w:p w14:paraId="5CB74DFC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7F37AA50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o wymiarach leża 2000x850 mm?</w:t>
      </w:r>
    </w:p>
    <w:p w14:paraId="158DC33D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7A87BE84" w14:textId="58460138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bez elastycznej listwy odbojowej na barierkach na całej ich długości, krążki odbojowe w wystarczający sposób zabezpieczają łózko przed uderzeniami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</w:t>
      </w:r>
      <w:bookmarkStart w:id="4" w:name="_GoBack"/>
      <w:bookmarkEnd w:id="4"/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i zarysowaniami?</w:t>
      </w:r>
    </w:p>
    <w:p w14:paraId="44A4D978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0337B2D4" w14:textId="27FAB6DD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gdzie uchwyty nie są wyposażone</w:t>
      </w:r>
      <w:r w:rsidR="008C42C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          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      </w:t>
      </w:r>
      <w:r w:rsidR="008C42C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w kątomierze po dwóch stronach przy segmencie wezgłowia?</w:t>
      </w:r>
    </w:p>
    <w:p w14:paraId="0AD42784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07FCA4C9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gdzie szczyty wykonane w całości, stanowiące jednolity odlew, bez miejsc łączenia będących miejscami gnieżdżenia się brudu oraz będących potencjalnym ogniskiem infekcji, wykonane z tworzywa z kolorowymi wklejkami. Szczyty łóżka szybko wyjmowane?</w:t>
      </w:r>
    </w:p>
    <w:p w14:paraId="024A757A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199F447C" w14:textId="02B01D64" w:rsidR="00A05FC3" w:rsidRPr="00592047" w:rsidRDefault="00A05FC3" w:rsidP="00C45F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gdzie szczyty metalowe, lakierowane proszkowo, wypełnione płytami z tworzywa HPL o grubości 6 mm. odporne na działanie wysokiej temperatury uszkodzenia mechaniczne, chemiczne oraz promieniowanie UV. Szczyty łóżka szybko wyjmowane?</w:t>
      </w:r>
    </w:p>
    <w:p w14:paraId="0E1316E7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0D6244D5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Czy Zamawiający dopuści do zaoferowania łóżko gdzie segmenty leża wypełnione metalowymi lamelami, które są bardziej funkcjonalne od siatki, w kwestii utrzymania czystości i dezynfekcji, co jest istotne w przypadku </w:t>
      </w:r>
      <w:proofErr w:type="spellStart"/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covid</w:t>
      </w:r>
      <w:proofErr w:type="spellEnd"/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?</w:t>
      </w:r>
    </w:p>
    <w:p w14:paraId="0DF7599A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65352197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gdzie regulacja pozycji łóżka elektrycznie :</w:t>
      </w:r>
    </w:p>
    <w:p w14:paraId="425683FC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* segmentu oparcia pleców : 0 - 73</w:t>
      </w:r>
      <w:r w:rsidRPr="00592047">
        <w:rPr>
          <w:rFonts w:asciiTheme="majorHAnsi" w:eastAsia="Lucida Sans Unicode" w:hAnsiTheme="majorHAnsi" w:cstheme="minorHAnsi"/>
          <w:sz w:val="20"/>
          <w:szCs w:val="20"/>
          <w:vertAlign w:val="superscript"/>
          <w:lang w:eastAsia="pl-PL"/>
        </w:rPr>
        <w:t>0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?</w:t>
      </w:r>
    </w:p>
    <w:p w14:paraId="0C122421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2F00C7B4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bez potwierdzenia przez niezależny instytut?</w:t>
      </w:r>
    </w:p>
    <w:p w14:paraId="4BFA0354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lastRenderedPageBreak/>
        <w:t>Oferowane łóżko posiada bezpieczne obciążenie 250 kg. Jest zarejestrowane jako wyrób medyczny, posiada certyfikat CE. Zgodnie z przepisami Zamawiający nie może żądać potwierdzenia jego parametrów przez dodatkowe instytucje.</w:t>
      </w:r>
    </w:p>
    <w:p w14:paraId="515E9D88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35CE5973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łóżko posiadające barierki boczne metalowe, lakierowane proszkowo, składające się z 4 profili poziomych, składane wzdłuż ramy leża, łatwo demontowane bez użycia narzędzi, zgodne z normą EN 60601-2-52, wysokość barierek 450 mm  nad poziomem leża bez materaca?</w:t>
      </w:r>
    </w:p>
    <w:p w14:paraId="484A71F6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6B02B465" w14:textId="11DEB60C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szafkę posiadającą blat z tworzywa ABS z wystającymi, zaokrąglonymi krawędziami ułatwiającymi utrzymanie przedmiotów i rozlewanie płynów? Dzięki jednolitej konstrukcji blatu, ogranicza się miejsca trudno dostępne z możliwością rozwoju bakterii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i drobnoustrojów.</w:t>
      </w:r>
    </w:p>
    <w:p w14:paraId="61CF7236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6E5D74A1" w14:textId="77777777" w:rsidR="00A05FC3" w:rsidRPr="00592047" w:rsidRDefault="00A05FC3" w:rsidP="00C45F7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Czy Zamawiający dopuści do zaoferowania szafkę posiadającą półkę do odkładania obuwia lub  pojemników urologicznych  wykonaną z siatki stalowej pokrytej lakierem proszkowym?</w:t>
      </w:r>
    </w:p>
    <w:p w14:paraId="12503DBA" w14:textId="77777777" w:rsidR="00A05FC3" w:rsidRPr="00592047" w:rsidRDefault="00A05FC3" w:rsidP="00C45F72">
      <w:pPr>
        <w:widowControl w:val="0"/>
        <w:spacing w:after="0" w:line="240" w:lineRule="auto"/>
        <w:ind w:left="720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2E95B6A4" w14:textId="77777777" w:rsidR="000567BB" w:rsidRPr="00592047" w:rsidRDefault="000567BB" w:rsidP="00C45F72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p w14:paraId="177A3A63" w14:textId="77777777" w:rsidR="00AD162C" w:rsidRPr="00592047" w:rsidRDefault="001A51A3" w:rsidP="00C45F72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</w:pPr>
      <w:r w:rsidRPr="00592047"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  <w:t>Odpowiedź:</w:t>
      </w:r>
    </w:p>
    <w:p w14:paraId="2BE5DFB5" w14:textId="1776AB2C" w:rsidR="00A266B7" w:rsidRPr="00592047" w:rsidRDefault="00E71F53" w:rsidP="00C45F72">
      <w:pPr>
        <w:spacing w:after="0" w:line="240" w:lineRule="auto"/>
        <w:ind w:left="284"/>
        <w:jc w:val="both"/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 Ad.1 </w:t>
      </w:r>
      <w:r w:rsidR="00D46289" w:rsidRPr="00592047">
        <w:rPr>
          <w:rFonts w:asciiTheme="majorHAnsi" w:hAnsiTheme="majorHAnsi" w:cstheme="minorHAnsi"/>
          <w:bCs/>
          <w:sz w:val="20"/>
          <w:szCs w:val="20"/>
        </w:rPr>
        <w:t xml:space="preserve">Zamawiający </w:t>
      </w:r>
      <w:r w:rsidR="00A266B7" w:rsidRPr="00592047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do zaoferowania łóżko o długości całkowitej 2150 mm.</w:t>
      </w:r>
    </w:p>
    <w:p w14:paraId="2CC3E6CA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7279AA86" w14:textId="2C633B1C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 Ad.2 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A266B7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do zaoferowania łóżko o wymiarach leża 2000x850 mm.</w:t>
      </w:r>
    </w:p>
    <w:p w14:paraId="408FBA09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64E0BFB6" w14:textId="7E0E9E60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E71F53" w:rsidRPr="00592047">
        <w:rPr>
          <w:rFonts w:asciiTheme="majorHAnsi" w:hAnsiTheme="majorHAnsi" w:cstheme="minorHAnsi"/>
          <w:bCs/>
          <w:sz w:val="20"/>
          <w:szCs w:val="20"/>
        </w:rPr>
        <w:t xml:space="preserve">Ad.3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Zamawiający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="00D46289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do zaoferowania łóżko bez elastycznej listwy odbojowej na barierkach na całej ich długości, krążki odbojowe w wystarczający sposób zabezpieczają łózko przed uderzeniami 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    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i zarysowaniami.</w:t>
      </w:r>
    </w:p>
    <w:p w14:paraId="1D279E28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13EB33BC" w14:textId="6E6057E7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Ad.4 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D46289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do zaoferowania łóżko gdzie uchwyty nie są wyposażone 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</w:t>
      </w:r>
      <w:r w:rsidR="00AD162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w kątomierze po dwóch stronach przy segmencie wezgłowia.</w:t>
      </w:r>
    </w:p>
    <w:p w14:paraId="412C668C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5F66EBFD" w14:textId="1F3E6749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Ad.5 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D46289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do zaoferowania łóżko gdzie szczyty wykonane w całości, stanowiące jednolity odlew, bez miejsc łączenia będących miejscami gnieżdżenia się brudu oraz będących potencjalnym ogniskiem infekcji, wykonane z tworzywa z kolorowymi wklejkami. Szczyty łóżka szybko wyjmowane.</w:t>
      </w:r>
    </w:p>
    <w:p w14:paraId="0A782EAB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3FA2FCDC" w14:textId="06EFADAB" w:rsidR="00A266B7" w:rsidRPr="00592047" w:rsidRDefault="00AD162C" w:rsidP="00C45F72">
      <w:pPr>
        <w:spacing w:after="0" w:line="240" w:lineRule="auto"/>
        <w:ind w:left="284"/>
        <w:jc w:val="both"/>
        <w:rPr>
          <w:rFonts w:asciiTheme="majorHAnsi" w:hAnsiTheme="majorHAnsi" w:cstheme="minorHAnsi"/>
          <w:b/>
          <w:color w:val="000000"/>
          <w:sz w:val="20"/>
          <w:szCs w:val="20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>Ad.6</w:t>
      </w:r>
      <w:r w:rsidR="00E71F53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D46289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do zaoferowania łóżko gdzie szczyty metalowe, lakierowane proszkowo, wypełnione płytami z tworzywa HPL o grubości 6 mm. odporne na działanie wysokiej temperatury uszkodzenia mechaniczne, chemiczne oraz promieniowanie UV. Szczyty łóżka szybko wyjmowane.</w:t>
      </w:r>
    </w:p>
    <w:p w14:paraId="6ACB5A3D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1651B998" w14:textId="57E4C2B6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E71F53" w:rsidRPr="00592047">
        <w:rPr>
          <w:rFonts w:asciiTheme="majorHAnsi" w:hAnsiTheme="majorHAnsi" w:cstheme="minorHAnsi"/>
          <w:bCs/>
          <w:sz w:val="20"/>
          <w:szCs w:val="20"/>
        </w:rPr>
        <w:t xml:space="preserve">Ad.7 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6E363C"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>nie dopuszcza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do zaoferowania łóżko gdzie segmenty leża wypełnione metalowymi lamelami, które są bardziej funkcjonalne od siatki, w kwestii utrzymania czystości 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C45F72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i dezynfekcji, co jest istotne w przypadku </w:t>
      </w:r>
      <w:proofErr w:type="spellStart"/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covid</w:t>
      </w:r>
      <w:proofErr w:type="spellEnd"/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.</w:t>
      </w:r>
    </w:p>
    <w:p w14:paraId="5849B131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3BB42F72" w14:textId="01193740" w:rsidR="00A266B7" w:rsidRPr="00592047" w:rsidRDefault="006E363C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E71F53" w:rsidRPr="00592047">
        <w:rPr>
          <w:rFonts w:asciiTheme="majorHAnsi" w:hAnsiTheme="majorHAnsi" w:cstheme="minorHAnsi"/>
          <w:bCs/>
          <w:sz w:val="20"/>
          <w:szCs w:val="20"/>
        </w:rPr>
        <w:t xml:space="preserve">Ad.8 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Zamawiający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 xml:space="preserve"> dopuszcza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do zaoferowania łóżko gdzie regul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acja pozycji łóżka elektrycznie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: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</w:t>
      </w:r>
      <w:r w:rsid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* segmentu oparcia pleców : 0 - 73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vertAlign w:val="superscript"/>
          <w:lang w:eastAsia="pl-PL"/>
        </w:rPr>
        <w:t>0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.</w:t>
      </w:r>
    </w:p>
    <w:p w14:paraId="0A8CFE23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5DFE3066" w14:textId="0A3FB01E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Ad.9 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6E363C" w:rsidRPr="00592047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do zaoferowania łóżko bez potwierd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zenia przez niezależny instytut.</w:t>
      </w:r>
    </w:p>
    <w:p w14:paraId="66DED3B7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0D6D078C" w14:textId="0BA6B96D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 xml:space="preserve">Ad.10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6E363C" w:rsidRPr="00592047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do zaoferowania łóżko posiadające barierki boczne metalowe, lakierowane proszkowo, składające się z 4 profili poziomych, składane wzdłuż ramy leża, łatwo demontowane bez użycia narzędzi, zgodne z normą EN 60601-2-52, wysokość barierek 450 mm  nad poziomem leża bez materaca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.</w:t>
      </w:r>
    </w:p>
    <w:p w14:paraId="2AC74733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3A0331FD" w14:textId="31E1DD71" w:rsidR="00A266B7" w:rsidRPr="00592047" w:rsidRDefault="006E363C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E71F53" w:rsidRPr="00592047">
        <w:rPr>
          <w:rFonts w:asciiTheme="majorHAnsi" w:hAnsiTheme="majorHAnsi" w:cstheme="minorHAnsi"/>
          <w:bCs/>
          <w:sz w:val="20"/>
          <w:szCs w:val="20"/>
        </w:rPr>
        <w:t>Ad.11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 xml:space="preserve">nie </w:t>
      </w:r>
      <w:r w:rsidRPr="00592047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Pr="00592047">
        <w:rPr>
          <w:rFonts w:asciiTheme="majorHAnsi" w:eastAsia="Lucida Sans Unicode" w:hAnsiTheme="majorHAnsi" w:cstheme="minorHAnsi"/>
          <w:b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do zaoferowania szafkę posiadającą blat z tworzywa ABS </w:t>
      </w:r>
      <w:r w:rsidR="00AD162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 </w:t>
      </w:r>
      <w:r w:rsidR="00C45F72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                </w:t>
      </w:r>
      <w:r w:rsidR="00AD162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z wystającymi, zaokrąglonymi krawędziami ułatwiającymi utrzymanie przedmiotów i rozlewanie płynów</w:t>
      </w:r>
      <w:r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.</w:t>
      </w:r>
    </w:p>
    <w:p w14:paraId="27A1952C" w14:textId="77777777" w:rsidR="00A266B7" w:rsidRPr="00592047" w:rsidRDefault="00A266B7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</w:p>
    <w:p w14:paraId="7CE47FCA" w14:textId="6292C98C" w:rsidR="00A266B7" w:rsidRPr="00592047" w:rsidRDefault="00E71F53" w:rsidP="00C45F72">
      <w:pPr>
        <w:widowControl w:val="0"/>
        <w:spacing w:after="0" w:line="240" w:lineRule="auto"/>
        <w:ind w:left="284"/>
        <w:contextualSpacing/>
        <w:jc w:val="both"/>
        <w:rPr>
          <w:rFonts w:asciiTheme="majorHAnsi" w:eastAsia="Lucida Sans Unicode" w:hAnsiTheme="majorHAnsi" w:cstheme="minorHAnsi"/>
          <w:sz w:val="20"/>
          <w:szCs w:val="20"/>
          <w:lang w:eastAsia="pl-PL"/>
        </w:rPr>
      </w:pPr>
      <w:r w:rsidRPr="00592047">
        <w:rPr>
          <w:rFonts w:asciiTheme="majorHAnsi" w:hAnsiTheme="majorHAnsi" w:cstheme="minorHAnsi"/>
          <w:bCs/>
          <w:sz w:val="20"/>
          <w:szCs w:val="20"/>
        </w:rPr>
        <w:t>Ad.12</w:t>
      </w:r>
      <w:r w:rsidR="00AD162C" w:rsidRPr="00592047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Zamawiający </w:t>
      </w:r>
      <w:r w:rsidR="006E363C" w:rsidRPr="00592047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="006E363C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A266B7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do zaoferowania szafkę posiadającą półkę do odkładania obuwia lub  pojemników urologicznych  wykonaną z siatki stalowej po</w:t>
      </w:r>
      <w:r w:rsidR="00D46289" w:rsidRPr="00592047">
        <w:rPr>
          <w:rFonts w:asciiTheme="majorHAnsi" w:eastAsia="Lucida Sans Unicode" w:hAnsiTheme="majorHAnsi" w:cstheme="minorHAnsi"/>
          <w:sz w:val="20"/>
          <w:szCs w:val="20"/>
          <w:lang w:eastAsia="pl-PL"/>
        </w:rPr>
        <w:t>krytej lakierem proszkowym.</w:t>
      </w:r>
    </w:p>
    <w:p w14:paraId="689FB2A1" w14:textId="4B88E26C" w:rsidR="00052D07" w:rsidRPr="00592047" w:rsidRDefault="00052D07" w:rsidP="00C45F72">
      <w:pPr>
        <w:pStyle w:val="Akapitzlist"/>
        <w:spacing w:after="0" w:line="240" w:lineRule="auto"/>
        <w:ind w:left="786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sectPr w:rsidR="00052D07" w:rsidRPr="00592047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4970" w14:textId="77777777" w:rsidR="00CA17A7" w:rsidRDefault="00CA17A7">
      <w:pPr>
        <w:spacing w:after="0" w:line="240" w:lineRule="auto"/>
      </w:pPr>
      <w:r>
        <w:separator/>
      </w:r>
    </w:p>
  </w:endnote>
  <w:endnote w:type="continuationSeparator" w:id="0">
    <w:p w14:paraId="0327BB65" w14:textId="77777777" w:rsidR="00CA17A7" w:rsidRDefault="00CA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1485C" w14:textId="77777777" w:rsidR="00CA17A7" w:rsidRDefault="00CA17A7">
      <w:pPr>
        <w:spacing w:after="0" w:line="240" w:lineRule="auto"/>
      </w:pPr>
      <w:r>
        <w:separator/>
      </w:r>
    </w:p>
  </w:footnote>
  <w:footnote w:type="continuationSeparator" w:id="0">
    <w:p w14:paraId="7F9A99DC" w14:textId="77777777" w:rsidR="00CA17A7" w:rsidRDefault="00CA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0"/>
  </w:num>
  <w:num w:numId="5">
    <w:abstractNumId w:val="11"/>
  </w:num>
  <w:num w:numId="6">
    <w:abstractNumId w:val="18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4"/>
  </w:num>
  <w:num w:numId="1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1D52"/>
    <w:rsid w:val="001F53B9"/>
    <w:rsid w:val="00204BD8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7179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857B7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7C01"/>
    <w:rsid w:val="00592047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08C0"/>
    <w:rsid w:val="006A71B9"/>
    <w:rsid w:val="006B3799"/>
    <w:rsid w:val="006C2503"/>
    <w:rsid w:val="006C5621"/>
    <w:rsid w:val="006C5F74"/>
    <w:rsid w:val="006D528C"/>
    <w:rsid w:val="006E363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32E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C42C7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266B7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162C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5F72"/>
    <w:rsid w:val="00C463E0"/>
    <w:rsid w:val="00C46CF1"/>
    <w:rsid w:val="00C47C97"/>
    <w:rsid w:val="00C601E3"/>
    <w:rsid w:val="00C825AA"/>
    <w:rsid w:val="00C86D4F"/>
    <w:rsid w:val="00C9475F"/>
    <w:rsid w:val="00CA17A7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46289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13218"/>
    <w:rsid w:val="00E426D6"/>
    <w:rsid w:val="00E50C5F"/>
    <w:rsid w:val="00E53C4C"/>
    <w:rsid w:val="00E61AD5"/>
    <w:rsid w:val="00E63EF1"/>
    <w:rsid w:val="00E6760E"/>
    <w:rsid w:val="00E71333"/>
    <w:rsid w:val="00E71F5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C8189-0E1B-45FE-9184-F52271B7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11</cp:revision>
  <cp:lastPrinted>2020-07-16T13:16:00Z</cp:lastPrinted>
  <dcterms:created xsi:type="dcterms:W3CDTF">2020-08-12T12:12:00Z</dcterms:created>
  <dcterms:modified xsi:type="dcterms:W3CDTF">2020-08-13T09:51:00Z</dcterms:modified>
</cp:coreProperties>
</file>