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712A4086" w:rsidR="00640147" w:rsidRPr="008556EA" w:rsidRDefault="00F15F5B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2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A05FC3"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33E26409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F721D4">
        <w:rPr>
          <w:rFonts w:asciiTheme="majorHAnsi" w:hAnsiTheme="majorHAnsi" w:cs="Arial"/>
          <w:b/>
          <w:bCs/>
          <w:color w:val="000000"/>
          <w:sz w:val="20"/>
          <w:szCs w:val="20"/>
        </w:rPr>
        <w:t>7</w:t>
      </w:r>
      <w:bookmarkStart w:id="3" w:name="_GoBack"/>
      <w:bookmarkEnd w:id="3"/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4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4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ADE1965" w14:textId="77777777" w:rsidR="00311544" w:rsidRPr="00311544" w:rsidRDefault="00311544" w:rsidP="00311544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b/>
          <w:sz w:val="20"/>
          <w:szCs w:val="20"/>
          <w:u w:val="single"/>
        </w:rPr>
        <w:t>dotyczy</w:t>
      </w:r>
      <w:r w:rsidRPr="00311544">
        <w:rPr>
          <w:rFonts w:asciiTheme="minorHAnsi" w:hAnsiTheme="minorHAnsi" w:cstheme="minorHAnsi"/>
          <w:sz w:val="20"/>
          <w:szCs w:val="20"/>
        </w:rPr>
        <w:t xml:space="preserve">:   </w:t>
      </w:r>
    </w:p>
    <w:p w14:paraId="45811F2B" w14:textId="77777777" w:rsidR="00311544" w:rsidRPr="00311544" w:rsidRDefault="00311544" w:rsidP="00311544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11544">
        <w:rPr>
          <w:rFonts w:asciiTheme="minorHAnsi" w:hAnsiTheme="minorHAnsi" w:cstheme="minorHAnsi"/>
          <w:i/>
          <w:sz w:val="20"/>
          <w:szCs w:val="20"/>
        </w:rPr>
        <w:t>Zakup wyposażenia strefy buforowej (oddziału dla pacjentów z COVID-19) w związku z realizacją projektu pn. „Zwalczanie skutków epidemii COVID 19 w Powiecie Jędrzejowskim”</w:t>
      </w:r>
    </w:p>
    <w:p w14:paraId="0595888B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54A400C1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Jako wieloletni dostawca wysokiej jakości aparatury medycznej zwracamy się z prośbą o dopuszczenie do powyższego postępowania urządzeń o poniższych parametrach. </w:t>
      </w:r>
    </w:p>
    <w:p w14:paraId="32BDD829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Pragniemy nadmienić, że do dnia dzisiejszego dostarczyliśmy do wielu placówek sprzęt medyczny, który działa bezawaryjne  i cieszy się pozytywną opinią użytkowników.</w:t>
      </w:r>
    </w:p>
    <w:p w14:paraId="381A73E3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69DCA0E2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5014DAA3" w14:textId="77777777" w:rsidR="00311544" w:rsidRPr="00311544" w:rsidRDefault="00311544" w:rsidP="00311544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1544">
        <w:rPr>
          <w:rFonts w:asciiTheme="minorHAnsi" w:hAnsiTheme="minorHAnsi" w:cstheme="minorHAnsi"/>
          <w:b/>
          <w:sz w:val="20"/>
          <w:szCs w:val="20"/>
        </w:rPr>
        <w:t>Zadanie nr 2 - Pompa infuzyjna</w:t>
      </w:r>
    </w:p>
    <w:p w14:paraId="4B148591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b/>
          <w:sz w:val="20"/>
          <w:szCs w:val="20"/>
        </w:rPr>
      </w:pPr>
    </w:p>
    <w:p w14:paraId="6D54EA28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– </w:t>
      </w:r>
      <w:r w:rsidRPr="00311544">
        <w:rPr>
          <w:rFonts w:asciiTheme="minorHAnsi" w:hAnsiTheme="minorHAnsi" w:cstheme="minorHAnsi"/>
          <w:b/>
          <w:sz w:val="20"/>
          <w:szCs w:val="20"/>
        </w:rPr>
        <w:t xml:space="preserve">Pkt. 7 </w:t>
      </w:r>
      <w:r w:rsidRPr="00311544">
        <w:rPr>
          <w:rFonts w:asciiTheme="minorHAnsi" w:hAnsiTheme="minorHAnsi" w:cstheme="minorHAnsi"/>
          <w:sz w:val="20"/>
          <w:szCs w:val="20"/>
        </w:rPr>
        <w:t xml:space="preserve">Czy Zamawiający dopuści do przetargu pompy </w:t>
      </w:r>
      <w:proofErr w:type="spellStart"/>
      <w:r w:rsidRPr="00311544">
        <w:rPr>
          <w:rFonts w:asciiTheme="minorHAnsi" w:hAnsiTheme="minorHAnsi" w:cstheme="minorHAnsi"/>
          <w:sz w:val="20"/>
          <w:szCs w:val="20"/>
        </w:rPr>
        <w:t>strzykawkowe</w:t>
      </w:r>
      <w:proofErr w:type="spellEnd"/>
      <w:r w:rsidRPr="00311544">
        <w:rPr>
          <w:rFonts w:asciiTheme="minorHAnsi" w:hAnsiTheme="minorHAnsi" w:cstheme="minorHAnsi"/>
          <w:sz w:val="20"/>
          <w:szCs w:val="20"/>
        </w:rPr>
        <w:t xml:space="preserve"> z zakresem szybkości infuzji co 0,01 ml/h dla:</w:t>
      </w:r>
    </w:p>
    <w:p w14:paraId="6DA8029B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bookmarkStart w:id="5" w:name="OLE_LINK1"/>
      <w:bookmarkStart w:id="6" w:name="OLE_LINK2"/>
      <w:r w:rsidRPr="00311544">
        <w:rPr>
          <w:rFonts w:asciiTheme="minorHAnsi" w:hAnsiTheme="minorHAnsi" w:cstheme="minorHAnsi"/>
          <w:sz w:val="20"/>
          <w:szCs w:val="20"/>
        </w:rPr>
        <w:t>0,01 – 100 ml/h dla strzykawek 2/3 ml</w:t>
      </w:r>
    </w:p>
    <w:p w14:paraId="6178DABC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0,01 – 100 ml/h dla strzykawek 5ml</w:t>
      </w:r>
    </w:p>
    <w:p w14:paraId="746C43D2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0,01 – 200 ml/h dla strzykawek 10 ml</w:t>
      </w:r>
    </w:p>
    <w:p w14:paraId="7872D435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0,01 – 400 ml/h dla strzykawek 20 ml</w:t>
      </w:r>
    </w:p>
    <w:p w14:paraId="6843FE72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0,01 – 600 ml/h dla strzykawek 30 ml</w:t>
      </w:r>
    </w:p>
    <w:p w14:paraId="13854BBC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0,01 – 1800 ml/h dla strzykawek 50 ml</w:t>
      </w:r>
    </w:p>
    <w:p w14:paraId="3C14D001" w14:textId="70CE0085" w:rsid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Powyższy zakres jest całkowicie wystarczający do poprawnej podaży infuzji pacjentowi. Dodatkowo takie rozwiązanie jest znacznie lepsze od rozwiązania wymaganego przez Zamawiającego, ponieważ infuzja z niskimi przepływami dokładność jest zdecydowanie ważniejsza, szczególnie z możliwością współpracy pompy ze strzykawkami o rozmiarach 2/3 ml. </w:t>
      </w:r>
    </w:p>
    <w:p w14:paraId="29F6D8DE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057C8A23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– </w:t>
      </w:r>
      <w:r w:rsidRPr="00311544">
        <w:rPr>
          <w:rFonts w:asciiTheme="minorHAnsi" w:hAnsiTheme="minorHAnsi" w:cstheme="minorHAnsi"/>
          <w:b/>
          <w:sz w:val="20"/>
          <w:szCs w:val="20"/>
        </w:rPr>
        <w:t xml:space="preserve">Pkt. 11   </w:t>
      </w:r>
      <w:r w:rsidRPr="00311544">
        <w:rPr>
          <w:rFonts w:asciiTheme="minorHAnsi" w:hAnsiTheme="minorHAnsi" w:cstheme="minorHAnsi"/>
          <w:sz w:val="20"/>
          <w:szCs w:val="20"/>
        </w:rPr>
        <w:t xml:space="preserve">Czy Zamawiający dopuści do przetargu pompy </w:t>
      </w:r>
      <w:proofErr w:type="spellStart"/>
      <w:r w:rsidRPr="00311544">
        <w:rPr>
          <w:rFonts w:asciiTheme="minorHAnsi" w:hAnsiTheme="minorHAnsi" w:cstheme="minorHAnsi"/>
          <w:sz w:val="20"/>
          <w:szCs w:val="20"/>
        </w:rPr>
        <w:t>strzykawkowe</w:t>
      </w:r>
      <w:proofErr w:type="spellEnd"/>
      <w:r w:rsidRPr="00311544">
        <w:rPr>
          <w:rFonts w:asciiTheme="minorHAnsi" w:hAnsiTheme="minorHAnsi" w:cstheme="minorHAnsi"/>
          <w:sz w:val="20"/>
          <w:szCs w:val="20"/>
        </w:rPr>
        <w:t xml:space="preserve"> z regulowaną szybkością dozowania dawki uderzeniowej BOLUS co 0,1 ml/h dla:</w:t>
      </w:r>
    </w:p>
    <w:p w14:paraId="15CC170A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0,01 – 100 ml/h dla strzykawek 2/3 ml</w:t>
      </w:r>
    </w:p>
    <w:p w14:paraId="519CA88F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0,1 – 100 ml/h dla strzykawek 5ml</w:t>
      </w:r>
    </w:p>
    <w:p w14:paraId="01FB4C32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0,1 – 200 ml/h dla strzykawek 10 ml</w:t>
      </w:r>
    </w:p>
    <w:p w14:paraId="20A6D044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lastRenderedPageBreak/>
        <w:t>0,1 – 400 ml/h dla strzykawek 20 ml</w:t>
      </w:r>
    </w:p>
    <w:p w14:paraId="3A9079BA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0,1 – 600 ml/h dla strzykawek 30 ml</w:t>
      </w:r>
    </w:p>
    <w:p w14:paraId="539AA7D1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0,1 – 1800 ml/h dla strzykawek 50 ml</w:t>
      </w:r>
    </w:p>
    <w:p w14:paraId="6F24CF32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>Powyższy zakres jest całkowicie wystarczający do poprawnej podaży bolusa pacjentowi. Dodatkowo takie rozwiązanie jest znacznie lepsze od rozwiązania wymaganego przez Zamawiającego, ponieważ dodatkowa opcja bolusa dla obsługi strzykawek o rozmiarach 2/3 ml jest bardzo ważna, szczególnie gdy priorytetem jest dokładna niska podaż infuzji.</w:t>
      </w:r>
    </w:p>
    <w:p w14:paraId="722D9BEF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– </w:t>
      </w:r>
      <w:r w:rsidRPr="00311544">
        <w:rPr>
          <w:rFonts w:asciiTheme="minorHAnsi" w:hAnsiTheme="minorHAnsi" w:cstheme="minorHAnsi"/>
          <w:b/>
          <w:sz w:val="20"/>
          <w:szCs w:val="20"/>
        </w:rPr>
        <w:t xml:space="preserve">Pkt. 22 </w:t>
      </w:r>
      <w:r w:rsidRPr="00311544">
        <w:rPr>
          <w:rFonts w:asciiTheme="minorHAnsi" w:hAnsiTheme="minorHAnsi" w:cstheme="minorHAnsi"/>
          <w:sz w:val="20"/>
          <w:szCs w:val="20"/>
        </w:rPr>
        <w:t xml:space="preserve">Czy Zamawiający dopuści do przetargu pompy </w:t>
      </w:r>
      <w:proofErr w:type="spellStart"/>
      <w:r w:rsidRPr="00311544">
        <w:rPr>
          <w:rFonts w:asciiTheme="minorHAnsi" w:hAnsiTheme="minorHAnsi" w:cstheme="minorHAnsi"/>
          <w:sz w:val="20"/>
          <w:szCs w:val="20"/>
        </w:rPr>
        <w:t>strzykawkowe</w:t>
      </w:r>
      <w:proofErr w:type="spellEnd"/>
      <w:r w:rsidRPr="00311544">
        <w:rPr>
          <w:rFonts w:asciiTheme="minorHAnsi" w:hAnsiTheme="minorHAnsi" w:cstheme="minorHAnsi"/>
          <w:sz w:val="20"/>
          <w:szCs w:val="20"/>
        </w:rPr>
        <w:t xml:space="preserve"> z funkcją Stand-By programowaną w zakresie 1 min – 24h ? Taki przedział jest całkowicie wystarczający do poprawnego funkcjonowania pompy, a przedział między 1 sekundą a jedną minutą nie ma klinicznego zastosowania.</w:t>
      </w:r>
    </w:p>
    <w:p w14:paraId="5AC419E2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– </w:t>
      </w:r>
      <w:r w:rsidRPr="00311544">
        <w:rPr>
          <w:rFonts w:asciiTheme="minorHAnsi" w:hAnsiTheme="minorHAnsi" w:cstheme="minorHAnsi"/>
          <w:b/>
          <w:sz w:val="20"/>
          <w:szCs w:val="20"/>
        </w:rPr>
        <w:t xml:space="preserve">Pkt. 28  </w:t>
      </w:r>
      <w:r w:rsidRPr="00311544">
        <w:rPr>
          <w:rFonts w:asciiTheme="minorHAnsi" w:hAnsiTheme="minorHAnsi" w:cstheme="minorHAnsi"/>
          <w:sz w:val="20"/>
          <w:szCs w:val="20"/>
        </w:rPr>
        <w:t xml:space="preserve">Czy Zamawiający dopuści do przetargu pompy </w:t>
      </w:r>
      <w:proofErr w:type="spellStart"/>
      <w:r w:rsidRPr="00311544">
        <w:rPr>
          <w:rFonts w:asciiTheme="minorHAnsi" w:hAnsiTheme="minorHAnsi" w:cstheme="minorHAnsi"/>
          <w:sz w:val="20"/>
          <w:szCs w:val="20"/>
        </w:rPr>
        <w:t>strzykawkowe</w:t>
      </w:r>
      <w:proofErr w:type="spellEnd"/>
      <w:r w:rsidRPr="00311544">
        <w:rPr>
          <w:rFonts w:asciiTheme="minorHAnsi" w:hAnsiTheme="minorHAnsi" w:cstheme="minorHAnsi"/>
          <w:sz w:val="20"/>
          <w:szCs w:val="20"/>
        </w:rPr>
        <w:t xml:space="preserve"> z zasilaniem wewnętrznym akumulatorowym wytrzymującym ponad 12 godzin pracy przy przepływie 5 ml/h ? Taka ilość czasu w zupełności wystarczy do poprawnej pracy  urządzenia w budynku użyteczności publicznej typu szpital, w którym występują liczne gniazdka elektryczne, agregaty.</w:t>
      </w:r>
      <w:bookmarkEnd w:id="5"/>
      <w:bookmarkEnd w:id="6"/>
    </w:p>
    <w:p w14:paraId="3021C8E5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1B24D235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– </w:t>
      </w:r>
      <w:r w:rsidRPr="00311544">
        <w:rPr>
          <w:rFonts w:asciiTheme="minorHAnsi" w:hAnsiTheme="minorHAnsi" w:cstheme="minorHAnsi"/>
          <w:b/>
          <w:sz w:val="20"/>
          <w:szCs w:val="20"/>
        </w:rPr>
        <w:t xml:space="preserve">Pkt. 33  </w:t>
      </w:r>
      <w:r w:rsidRPr="00311544">
        <w:rPr>
          <w:rFonts w:asciiTheme="minorHAnsi" w:hAnsiTheme="minorHAnsi" w:cstheme="minorHAnsi"/>
          <w:sz w:val="20"/>
          <w:szCs w:val="20"/>
        </w:rPr>
        <w:t>Czy Zamawiający dopuści do przetargu statyw medyczny do pomp z listwą zasilającą na 5 gniazd, pięcioramienną podstawą na kółkach z blokadą na 2 koła, czteroramiennym uchwyt na kroplówki, kolumną o średnicy 25/16 z możliwością regulacji w zakresie 1320 – 2250 mm ?</w:t>
      </w:r>
    </w:p>
    <w:p w14:paraId="6EA10D00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337C995C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311544">
        <w:rPr>
          <w:rFonts w:asciiTheme="minorHAnsi" w:hAnsiTheme="minorHAnsi" w:cstheme="minorHAnsi"/>
          <w:sz w:val="20"/>
          <w:szCs w:val="20"/>
        </w:rPr>
        <w:t xml:space="preserve">– </w:t>
      </w:r>
      <w:r w:rsidRPr="00311544">
        <w:rPr>
          <w:rFonts w:asciiTheme="minorHAnsi" w:hAnsiTheme="minorHAnsi" w:cstheme="minorHAnsi"/>
          <w:b/>
          <w:sz w:val="20"/>
          <w:szCs w:val="20"/>
        </w:rPr>
        <w:t xml:space="preserve">Pkt. 33  </w:t>
      </w:r>
      <w:r w:rsidRPr="00311544">
        <w:rPr>
          <w:rFonts w:asciiTheme="minorHAnsi" w:hAnsiTheme="minorHAnsi" w:cstheme="minorHAnsi"/>
          <w:sz w:val="20"/>
          <w:szCs w:val="20"/>
        </w:rPr>
        <w:t>Czy Zamawiający dopuści do przetargu statyw medyczny do pomp z dwuramiennym uchwytem na kroplówki ?</w:t>
      </w:r>
    </w:p>
    <w:p w14:paraId="4E1428AD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sz w:val="20"/>
          <w:szCs w:val="20"/>
        </w:rPr>
      </w:pPr>
    </w:p>
    <w:p w14:paraId="76694EE9" w14:textId="77777777" w:rsidR="00311544" w:rsidRPr="00311544" w:rsidRDefault="00311544" w:rsidP="00311544">
      <w:pPr>
        <w:pStyle w:val="Bezodstpw"/>
        <w:spacing w:line="276" w:lineRule="auto"/>
        <w:ind w:firstLine="426"/>
        <w:rPr>
          <w:rFonts w:asciiTheme="minorHAnsi" w:hAnsiTheme="minorHAnsi" w:cstheme="minorHAnsi"/>
          <w:i/>
          <w:iCs/>
          <w:sz w:val="20"/>
          <w:szCs w:val="20"/>
        </w:rPr>
      </w:pPr>
      <w:r w:rsidRPr="00311544">
        <w:rPr>
          <w:rFonts w:asciiTheme="minorHAnsi" w:hAnsiTheme="minorHAnsi" w:cstheme="minorHAnsi"/>
          <w:i/>
          <w:iCs/>
          <w:sz w:val="20"/>
          <w:szCs w:val="20"/>
        </w:rPr>
        <w:t>Jednocześnie pragnę podkreślić, że przygotowane przez firmę MARGOT MEDICAL pytania podyktowane są dobrem Zamawiającego oraz chęcią zaoferowania najnowocześniejszych i najbardziej ekonomicznych rozwiązań technologicznych.</w:t>
      </w:r>
    </w:p>
    <w:p w14:paraId="02742981" w14:textId="77777777" w:rsidR="00B75521" w:rsidRPr="00F831A1" w:rsidRDefault="00B75521" w:rsidP="00042B7D">
      <w:pPr>
        <w:pStyle w:val="Bezodstpw"/>
        <w:spacing w:line="276" w:lineRule="auto"/>
        <w:ind w:firstLine="426"/>
        <w:jc w:val="both"/>
        <w:rPr>
          <w:rFonts w:asciiTheme="minorHAnsi" w:hAnsiTheme="minorHAnsi" w:cstheme="minorHAnsi"/>
          <w:sz w:val="20"/>
          <w:szCs w:val="20"/>
        </w:rPr>
      </w:pPr>
    </w:p>
    <w:p w14:paraId="05BA67D7" w14:textId="77777777" w:rsidR="00B06A66" w:rsidRPr="00F831A1" w:rsidRDefault="00B06A66" w:rsidP="00B06A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u w:val="single"/>
          <w:lang w:eastAsia="en-US"/>
        </w:rPr>
      </w:pPr>
    </w:p>
    <w:p w14:paraId="408C7CE2" w14:textId="374F003D" w:rsidR="000567BB" w:rsidRPr="00F831A1" w:rsidRDefault="001A51A3" w:rsidP="00052D07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F831A1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Odpowiedź:</w:t>
      </w:r>
    </w:p>
    <w:p w14:paraId="71276EB5" w14:textId="77777777" w:rsidR="00B06A66" w:rsidRPr="00F831A1" w:rsidRDefault="00B06A66" w:rsidP="00B06A66">
      <w:pPr>
        <w:widowControl w:val="0"/>
        <w:spacing w:after="0"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</w:p>
    <w:p w14:paraId="2CC3E6CA" w14:textId="578533D3" w:rsidR="00A266B7" w:rsidRPr="00F831A1" w:rsidRDefault="00F15F5B" w:rsidP="00AE703B">
      <w:pPr>
        <w:widowControl w:val="0"/>
        <w:spacing w:after="0" w:line="240" w:lineRule="auto"/>
        <w:contextualSpacing/>
        <w:rPr>
          <w:rFonts w:asciiTheme="minorHAnsi" w:eastAsia="Lucida Sans Unicode" w:hAnsiTheme="minorHAnsi" w:cstheme="minorHAnsi"/>
          <w:sz w:val="20"/>
          <w:szCs w:val="20"/>
          <w:lang w:eastAsia="pl-PL"/>
        </w:rPr>
      </w:pPr>
      <w:r w:rsidRPr="00F831A1">
        <w:rPr>
          <w:rFonts w:asciiTheme="minorHAnsi" w:hAnsiTheme="minorHAnsi" w:cstheme="minorHAnsi"/>
          <w:bCs/>
          <w:sz w:val="20"/>
          <w:szCs w:val="20"/>
        </w:rPr>
        <w:t xml:space="preserve">Zamawiający </w:t>
      </w:r>
      <w:r w:rsidRPr="00F831A1">
        <w:rPr>
          <w:rFonts w:asciiTheme="minorHAnsi" w:hAnsiTheme="minorHAnsi" w:cstheme="minorHAnsi"/>
          <w:b/>
          <w:bCs/>
          <w:sz w:val="20"/>
          <w:szCs w:val="20"/>
        </w:rPr>
        <w:t xml:space="preserve">nie  dopuszcza </w:t>
      </w:r>
      <w:r w:rsidRPr="00F831A1">
        <w:rPr>
          <w:rFonts w:asciiTheme="minorHAnsi" w:eastAsia="Lucida Sans Unicode" w:hAnsiTheme="minorHAnsi" w:cstheme="minorHAnsi"/>
          <w:sz w:val="20"/>
          <w:szCs w:val="20"/>
          <w:lang w:eastAsia="pl-PL"/>
        </w:rPr>
        <w:t xml:space="preserve"> do zaoferowania </w:t>
      </w:r>
      <w:r w:rsidRPr="00F831A1">
        <w:rPr>
          <w:rFonts w:asciiTheme="minorHAnsi" w:hAnsiTheme="minorHAnsi" w:cstheme="minorHAnsi"/>
          <w:sz w:val="20"/>
          <w:szCs w:val="20"/>
        </w:rPr>
        <w:t>pomp infuzyjnych o w/w parametrach.</w:t>
      </w:r>
      <w:r w:rsidR="00AE703B" w:rsidRPr="00F831A1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F831A1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AE703B" w:rsidRPr="00F831A1">
        <w:rPr>
          <w:rFonts w:asciiTheme="minorHAnsi" w:hAnsiTheme="minorHAnsi" w:cstheme="minorHAnsi"/>
          <w:sz w:val="20"/>
          <w:szCs w:val="20"/>
        </w:rPr>
        <w:t xml:space="preserve">  </w:t>
      </w:r>
      <w:r w:rsidRPr="00F831A1">
        <w:rPr>
          <w:rFonts w:asciiTheme="minorHAnsi" w:hAnsiTheme="minorHAnsi" w:cstheme="minorHAnsi"/>
          <w:sz w:val="20"/>
          <w:szCs w:val="20"/>
        </w:rPr>
        <w:t xml:space="preserve"> </w:t>
      </w:r>
      <w:r w:rsidR="005D71E5">
        <w:rPr>
          <w:rFonts w:asciiTheme="minorHAnsi" w:hAnsiTheme="minorHAnsi" w:cstheme="minorHAnsi"/>
          <w:sz w:val="20"/>
          <w:szCs w:val="20"/>
        </w:rPr>
        <w:t xml:space="preserve">Parametry techniczne  pompy infuzyjnej zostały  określone </w:t>
      </w:r>
      <w:r w:rsidR="00AE703B" w:rsidRPr="00F831A1">
        <w:rPr>
          <w:rFonts w:asciiTheme="minorHAnsi" w:hAnsiTheme="minorHAnsi" w:cstheme="minorHAnsi"/>
          <w:sz w:val="20"/>
          <w:szCs w:val="20"/>
        </w:rPr>
        <w:t xml:space="preserve">w opisie przedmiotu zamówienia. </w:t>
      </w:r>
    </w:p>
    <w:p w14:paraId="689FB2A1" w14:textId="4B88E26C" w:rsidR="00052D07" w:rsidRPr="00A266B7" w:rsidRDefault="00052D07" w:rsidP="00B06A66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052D07" w:rsidRPr="00A266B7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3E627" w14:textId="77777777" w:rsidR="000C03A4" w:rsidRDefault="000C03A4">
      <w:pPr>
        <w:spacing w:after="0" w:line="240" w:lineRule="auto"/>
      </w:pPr>
      <w:r>
        <w:separator/>
      </w:r>
    </w:p>
  </w:endnote>
  <w:endnote w:type="continuationSeparator" w:id="0">
    <w:p w14:paraId="76B67019" w14:textId="77777777" w:rsidR="000C03A4" w:rsidRDefault="000C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6B5CF" w14:textId="77777777" w:rsidR="000C03A4" w:rsidRDefault="000C03A4">
      <w:pPr>
        <w:spacing w:after="0" w:line="240" w:lineRule="auto"/>
      </w:pPr>
      <w:r>
        <w:separator/>
      </w:r>
    </w:p>
  </w:footnote>
  <w:footnote w:type="continuationSeparator" w:id="0">
    <w:p w14:paraId="10F3207F" w14:textId="77777777" w:rsidR="000C03A4" w:rsidRDefault="000C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6A5B5E" w:rsidRDefault="006A5B5E" w:rsidP="007D2E56">
    <w:pPr>
      <w:pStyle w:val="Nagwek"/>
      <w:rPr>
        <w:noProof/>
        <w:lang w:eastAsia="pl-PL"/>
      </w:rPr>
    </w:pPr>
  </w:p>
  <w:p w14:paraId="1A318529" w14:textId="77777777" w:rsidR="006A5B5E" w:rsidRPr="002A0296" w:rsidRDefault="006A5B5E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6A5B5E" w:rsidRPr="001A51A3" w:rsidRDefault="006A5B5E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36433F5"/>
    <w:multiLevelType w:val="hybridMultilevel"/>
    <w:tmpl w:val="0B50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30506"/>
    <w:multiLevelType w:val="hybridMultilevel"/>
    <w:tmpl w:val="914C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155D5472"/>
    <w:multiLevelType w:val="hybridMultilevel"/>
    <w:tmpl w:val="95EE5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2BA"/>
    <w:multiLevelType w:val="hybridMultilevel"/>
    <w:tmpl w:val="63923EBE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CD9"/>
    <w:multiLevelType w:val="hybridMultilevel"/>
    <w:tmpl w:val="B7C0E3EA"/>
    <w:lvl w:ilvl="0" w:tplc="11FA10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7" w15:restartNumberingAfterBreak="0">
    <w:nsid w:val="34222BB8"/>
    <w:multiLevelType w:val="hybridMultilevel"/>
    <w:tmpl w:val="05889DDA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E24EF"/>
    <w:multiLevelType w:val="hybridMultilevel"/>
    <w:tmpl w:val="84785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0"/>
  </w:num>
  <w:num w:numId="5">
    <w:abstractNumId w:val="16"/>
  </w:num>
  <w:num w:numId="6">
    <w:abstractNumId w:val="25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12"/>
  </w:num>
  <w:num w:numId="12">
    <w:abstractNumId w:val="20"/>
  </w:num>
  <w:num w:numId="13">
    <w:abstractNumId w:val="24"/>
  </w:num>
  <w:num w:numId="14">
    <w:abstractNumId w:val="8"/>
  </w:num>
  <w:num w:numId="15">
    <w:abstractNumId w:val="21"/>
  </w:num>
  <w:num w:numId="16">
    <w:abstractNumId w:val="7"/>
  </w:num>
  <w:num w:numId="17">
    <w:abstractNumId w:val="10"/>
  </w:num>
  <w:num w:numId="18">
    <w:abstractNumId w:val="17"/>
  </w:num>
  <w:num w:numId="19">
    <w:abstractNumId w:val="11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368E"/>
    <w:rsid w:val="000A53A4"/>
    <w:rsid w:val="000A6A9B"/>
    <w:rsid w:val="000A6D28"/>
    <w:rsid w:val="000B34A0"/>
    <w:rsid w:val="000B5B27"/>
    <w:rsid w:val="000C03A4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0705"/>
    <w:rsid w:val="002E7179"/>
    <w:rsid w:val="003015B2"/>
    <w:rsid w:val="003027CC"/>
    <w:rsid w:val="003073CD"/>
    <w:rsid w:val="00311544"/>
    <w:rsid w:val="0031198C"/>
    <w:rsid w:val="003119DD"/>
    <w:rsid w:val="00320645"/>
    <w:rsid w:val="003349E1"/>
    <w:rsid w:val="0034553A"/>
    <w:rsid w:val="0034668E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5198"/>
    <w:rsid w:val="003C6FD9"/>
    <w:rsid w:val="003E0040"/>
    <w:rsid w:val="003E0641"/>
    <w:rsid w:val="003F6AF3"/>
    <w:rsid w:val="00415064"/>
    <w:rsid w:val="004274D7"/>
    <w:rsid w:val="004329E6"/>
    <w:rsid w:val="00442040"/>
    <w:rsid w:val="0044310B"/>
    <w:rsid w:val="00451A4C"/>
    <w:rsid w:val="0046616C"/>
    <w:rsid w:val="00481643"/>
    <w:rsid w:val="00494206"/>
    <w:rsid w:val="004A0291"/>
    <w:rsid w:val="004B42D9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7C01"/>
    <w:rsid w:val="00596674"/>
    <w:rsid w:val="00596951"/>
    <w:rsid w:val="005A191C"/>
    <w:rsid w:val="005B06A2"/>
    <w:rsid w:val="005C0ADD"/>
    <w:rsid w:val="005D71E5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63E4"/>
    <w:rsid w:val="00647751"/>
    <w:rsid w:val="00662906"/>
    <w:rsid w:val="00676239"/>
    <w:rsid w:val="006926DD"/>
    <w:rsid w:val="00696BC8"/>
    <w:rsid w:val="006A5B5E"/>
    <w:rsid w:val="006A71B9"/>
    <w:rsid w:val="006B3799"/>
    <w:rsid w:val="006C2503"/>
    <w:rsid w:val="006C5621"/>
    <w:rsid w:val="006C5F74"/>
    <w:rsid w:val="006D528C"/>
    <w:rsid w:val="006E363C"/>
    <w:rsid w:val="006F3106"/>
    <w:rsid w:val="006F3F83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8345B"/>
    <w:rsid w:val="007A29DB"/>
    <w:rsid w:val="007A6FA6"/>
    <w:rsid w:val="007C181A"/>
    <w:rsid w:val="007C4AE6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15D1"/>
    <w:rsid w:val="0097364B"/>
    <w:rsid w:val="00974B0B"/>
    <w:rsid w:val="00981661"/>
    <w:rsid w:val="00984809"/>
    <w:rsid w:val="0098627A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05FC3"/>
    <w:rsid w:val="00A17930"/>
    <w:rsid w:val="00A266B7"/>
    <w:rsid w:val="00A36AF1"/>
    <w:rsid w:val="00A43553"/>
    <w:rsid w:val="00A57ECD"/>
    <w:rsid w:val="00A8168A"/>
    <w:rsid w:val="00A87022"/>
    <w:rsid w:val="00A875F6"/>
    <w:rsid w:val="00A9737B"/>
    <w:rsid w:val="00AA2C77"/>
    <w:rsid w:val="00AB627F"/>
    <w:rsid w:val="00AB67EF"/>
    <w:rsid w:val="00AC576A"/>
    <w:rsid w:val="00AD5919"/>
    <w:rsid w:val="00AD6048"/>
    <w:rsid w:val="00AE703B"/>
    <w:rsid w:val="00AF6B4B"/>
    <w:rsid w:val="00AF7DA9"/>
    <w:rsid w:val="00B062B3"/>
    <w:rsid w:val="00B06A66"/>
    <w:rsid w:val="00B13D17"/>
    <w:rsid w:val="00B16504"/>
    <w:rsid w:val="00B45F1E"/>
    <w:rsid w:val="00B70F23"/>
    <w:rsid w:val="00B75521"/>
    <w:rsid w:val="00B77529"/>
    <w:rsid w:val="00B87248"/>
    <w:rsid w:val="00B95BAD"/>
    <w:rsid w:val="00BA3B3A"/>
    <w:rsid w:val="00BB3E8E"/>
    <w:rsid w:val="00BB3F35"/>
    <w:rsid w:val="00BC5C51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649E"/>
    <w:rsid w:val="00CB7B12"/>
    <w:rsid w:val="00CC73AB"/>
    <w:rsid w:val="00CD40C4"/>
    <w:rsid w:val="00CD484E"/>
    <w:rsid w:val="00CD4EF9"/>
    <w:rsid w:val="00CE2DDF"/>
    <w:rsid w:val="00CF1398"/>
    <w:rsid w:val="00CF6653"/>
    <w:rsid w:val="00D076F9"/>
    <w:rsid w:val="00D11EF2"/>
    <w:rsid w:val="00D2031E"/>
    <w:rsid w:val="00D23650"/>
    <w:rsid w:val="00D46289"/>
    <w:rsid w:val="00D5201F"/>
    <w:rsid w:val="00D52C9E"/>
    <w:rsid w:val="00D7190D"/>
    <w:rsid w:val="00D735CF"/>
    <w:rsid w:val="00D868CA"/>
    <w:rsid w:val="00DA24BB"/>
    <w:rsid w:val="00DA7528"/>
    <w:rsid w:val="00DC0E56"/>
    <w:rsid w:val="00DE71A4"/>
    <w:rsid w:val="00DF2B42"/>
    <w:rsid w:val="00E07994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15F5B"/>
    <w:rsid w:val="00F20A1E"/>
    <w:rsid w:val="00F305E4"/>
    <w:rsid w:val="00F4140D"/>
    <w:rsid w:val="00F42BC1"/>
    <w:rsid w:val="00F643B8"/>
    <w:rsid w:val="00F66DD7"/>
    <w:rsid w:val="00F7146B"/>
    <w:rsid w:val="00F721D4"/>
    <w:rsid w:val="00F74C4E"/>
    <w:rsid w:val="00F76E88"/>
    <w:rsid w:val="00F80C3E"/>
    <w:rsid w:val="00F831A1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368E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68E"/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ED43-A47A-4315-AA08-F94718D4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3</cp:revision>
  <cp:lastPrinted>2020-07-16T13:16:00Z</cp:lastPrinted>
  <dcterms:created xsi:type="dcterms:W3CDTF">2020-08-14T07:52:00Z</dcterms:created>
  <dcterms:modified xsi:type="dcterms:W3CDTF">2020-08-14T07:52:00Z</dcterms:modified>
</cp:coreProperties>
</file>